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sz w:val="36"/>
          <w:szCs w:val="44"/>
        </w:rPr>
      </w:pPr>
      <w:r>
        <w:rPr>
          <w:rFonts w:hint="eastAsia"/>
          <w:b/>
          <w:bCs/>
          <w:color w:val="FF0000"/>
          <w:sz w:val="36"/>
          <w:szCs w:val="44"/>
          <w:lang w:eastAsia="zh-CN"/>
        </w:rPr>
        <w:t>《</w:t>
      </w:r>
      <w:r>
        <w:rPr>
          <w:rFonts w:hint="eastAsia"/>
          <w:b/>
          <w:bCs/>
          <w:color w:val="FF0000"/>
          <w:sz w:val="36"/>
          <w:szCs w:val="44"/>
        </w:rPr>
        <w:t>国地税合并新征管模式下房地产企业开发经营各环节会计核算、纳税处理与申报表编制实务操作》</w:t>
      </w:r>
    </w:p>
    <w:p>
      <w:pPr>
        <w:ind w:firstLine="2209" w:firstLineChars="500"/>
        <w:rPr>
          <w:rFonts w:hint="eastAsia" w:eastAsia="宋体"/>
          <w:b/>
          <w:bCs/>
          <w:color w:val="FF0000"/>
          <w:sz w:val="44"/>
          <w:szCs w:val="52"/>
          <w:lang w:eastAsia="zh-CN"/>
        </w:rPr>
      </w:pPr>
      <w:r>
        <w:rPr>
          <w:rFonts w:hint="eastAsia"/>
          <w:b/>
          <w:bCs/>
          <w:color w:val="FF0000"/>
          <w:sz w:val="44"/>
          <w:szCs w:val="52"/>
        </w:rPr>
        <w:t>特训</w:t>
      </w:r>
      <w:r>
        <w:rPr>
          <w:rFonts w:hint="eastAsia"/>
          <w:b/>
          <w:bCs/>
          <w:color w:val="FF0000"/>
          <w:sz w:val="44"/>
          <w:szCs w:val="52"/>
          <w:lang w:eastAsia="zh-CN"/>
        </w:rPr>
        <w:t>营（第二期）</w:t>
      </w:r>
    </w:p>
    <w:p>
      <w:pPr>
        <w:ind w:firstLine="2891" w:firstLineChars="800"/>
        <w:rPr>
          <w:rFonts w:hint="eastAsia" w:eastAsia="宋体"/>
          <w:b/>
          <w:bCs/>
          <w:color w:val="FF0000"/>
          <w:sz w:val="36"/>
          <w:szCs w:val="44"/>
          <w:lang w:val="en-US" w:eastAsia="zh-CN"/>
        </w:rPr>
      </w:pPr>
      <w:r>
        <w:rPr>
          <w:rFonts w:hint="eastAsia"/>
          <w:b/>
          <w:bCs/>
          <w:color w:val="FF0000"/>
          <w:sz w:val="36"/>
          <w:szCs w:val="44"/>
          <w:lang w:val="en-US" w:eastAsia="zh-CN"/>
        </w:rPr>
        <w:t>2019年再升级！</w:t>
      </w:r>
    </w:p>
    <w:p>
      <w:pPr>
        <w:rPr>
          <w:rFonts w:hint="eastAsia"/>
          <w:sz w:val="28"/>
          <w:szCs w:val="36"/>
        </w:rPr>
      </w:pPr>
      <w:r>
        <w:rPr>
          <w:rFonts w:hint="eastAsia"/>
          <w:sz w:val="28"/>
          <w:szCs w:val="36"/>
        </w:rPr>
        <w:t xml:space="preserve"> </w:t>
      </w:r>
    </w:p>
    <w:p>
      <w:pPr>
        <w:rPr>
          <w:rFonts w:hint="eastAsia"/>
          <w:b/>
          <w:bCs/>
          <w:color w:val="FF0000"/>
          <w:sz w:val="28"/>
          <w:szCs w:val="36"/>
        </w:rPr>
      </w:pPr>
      <w:r>
        <w:rPr>
          <w:rFonts w:hint="eastAsia"/>
          <w:b/>
          <w:bCs/>
          <w:color w:val="FF0000"/>
          <w:sz w:val="28"/>
          <w:szCs w:val="36"/>
        </w:rPr>
        <w:t>一、</w:t>
      </w:r>
    </w:p>
    <w:p>
      <w:pPr>
        <w:rPr>
          <w:rFonts w:hint="eastAsia"/>
          <w:sz w:val="28"/>
          <w:szCs w:val="36"/>
        </w:rPr>
      </w:pPr>
      <w:r>
        <w:rPr>
          <w:rFonts w:hint="eastAsia"/>
          <w:sz w:val="28"/>
          <w:szCs w:val="36"/>
        </w:rPr>
        <w:t>尊敬的各位财务总监、财务部长、财务人员：</w:t>
      </w:r>
    </w:p>
    <w:p>
      <w:pPr>
        <w:rPr>
          <w:rFonts w:hint="eastAsia"/>
          <w:sz w:val="28"/>
          <w:szCs w:val="36"/>
        </w:rPr>
      </w:pPr>
      <w:r>
        <w:rPr>
          <w:rFonts w:hint="eastAsia"/>
          <w:sz w:val="28"/>
          <w:szCs w:val="36"/>
        </w:rPr>
        <w:t>1、您想在房地产企业做一名优秀的财务管理人员吗？</w:t>
      </w:r>
    </w:p>
    <w:p>
      <w:pPr>
        <w:rPr>
          <w:rFonts w:hint="eastAsia"/>
          <w:sz w:val="28"/>
          <w:szCs w:val="36"/>
        </w:rPr>
      </w:pPr>
      <w:r>
        <w:rPr>
          <w:rFonts w:hint="eastAsia"/>
          <w:sz w:val="28"/>
          <w:szCs w:val="36"/>
        </w:rPr>
        <w:t>2、您知道国地税合并后对房地产业新的征管要求吗？</w:t>
      </w:r>
    </w:p>
    <w:p>
      <w:pPr>
        <w:rPr>
          <w:rFonts w:hint="eastAsia"/>
          <w:sz w:val="28"/>
          <w:szCs w:val="36"/>
        </w:rPr>
      </w:pPr>
      <w:r>
        <w:rPr>
          <w:rFonts w:hint="eastAsia"/>
          <w:sz w:val="28"/>
          <w:szCs w:val="36"/>
        </w:rPr>
        <w:t>3、您知道国地税合并后房地产企业如何建账、建几本帐、建什么账吗？如何做会计处理吗？如何纳税申报吗？</w:t>
      </w:r>
    </w:p>
    <w:p>
      <w:pPr>
        <w:rPr>
          <w:rFonts w:hint="eastAsia"/>
          <w:sz w:val="28"/>
          <w:szCs w:val="36"/>
        </w:rPr>
      </w:pPr>
      <w:r>
        <w:rPr>
          <w:rFonts w:hint="eastAsia"/>
          <w:sz w:val="28"/>
          <w:szCs w:val="36"/>
        </w:rPr>
        <w:t>4、您懂得国地税合并后房地产业新的核算方法与特点吗？</w:t>
      </w:r>
    </w:p>
    <w:p>
      <w:pPr>
        <w:rPr>
          <w:rFonts w:hint="eastAsia"/>
          <w:sz w:val="28"/>
          <w:szCs w:val="36"/>
        </w:rPr>
      </w:pPr>
      <w:r>
        <w:rPr>
          <w:rFonts w:hint="eastAsia"/>
          <w:sz w:val="28"/>
          <w:szCs w:val="36"/>
        </w:rPr>
        <w:t>5、您知道国地税合并后对房地产业有什么重大影响吗?</w:t>
      </w:r>
    </w:p>
    <w:p>
      <w:pPr>
        <w:rPr>
          <w:rFonts w:hint="eastAsia"/>
          <w:sz w:val="28"/>
          <w:szCs w:val="36"/>
        </w:rPr>
      </w:pPr>
      <w:r>
        <w:rPr>
          <w:rFonts w:hint="eastAsia"/>
          <w:sz w:val="28"/>
          <w:szCs w:val="36"/>
        </w:rPr>
        <w:t>6、您了解房地产行业国地税合并后十大税种的新政策在实际工作中如何运用吗？</w:t>
      </w:r>
    </w:p>
    <w:p>
      <w:pPr>
        <w:rPr>
          <w:rFonts w:hint="eastAsia"/>
          <w:sz w:val="28"/>
          <w:szCs w:val="36"/>
        </w:rPr>
      </w:pPr>
      <w:r>
        <w:rPr>
          <w:rFonts w:hint="eastAsia"/>
          <w:sz w:val="28"/>
          <w:szCs w:val="36"/>
        </w:rPr>
        <w:t>7、您知道房地产业营改增后增值税纳税处理边氏八步法吗？</w:t>
      </w:r>
    </w:p>
    <w:p>
      <w:pPr>
        <w:rPr>
          <w:rFonts w:hint="eastAsia"/>
          <w:sz w:val="28"/>
          <w:szCs w:val="36"/>
        </w:rPr>
      </w:pPr>
      <w:r>
        <w:rPr>
          <w:rFonts w:hint="eastAsia"/>
          <w:sz w:val="28"/>
          <w:szCs w:val="36"/>
        </w:rPr>
        <w:t>8、您知道房地产业营改增后土增税纳税处理边氏九步法吗？</w:t>
      </w:r>
    </w:p>
    <w:p>
      <w:pPr>
        <w:rPr>
          <w:rFonts w:hint="eastAsia"/>
          <w:sz w:val="28"/>
          <w:szCs w:val="36"/>
        </w:rPr>
      </w:pPr>
      <w:r>
        <w:rPr>
          <w:rFonts w:hint="eastAsia"/>
          <w:sz w:val="28"/>
          <w:szCs w:val="36"/>
        </w:rPr>
        <w:t>9、您知道房地产企业所得税汇算和土增税清算两大税种的七大区别吗？</w:t>
      </w:r>
    </w:p>
    <w:p>
      <w:pPr>
        <w:rPr>
          <w:rFonts w:hint="eastAsia"/>
          <w:sz w:val="28"/>
          <w:szCs w:val="36"/>
        </w:rPr>
      </w:pPr>
      <w:r>
        <w:rPr>
          <w:rFonts w:hint="eastAsia"/>
          <w:sz w:val="28"/>
          <w:szCs w:val="36"/>
        </w:rPr>
        <w:t>10、您知道房地产业营改增后所得税汇算清缴边氏十步法吗？</w:t>
      </w:r>
    </w:p>
    <w:p>
      <w:pPr>
        <w:rPr>
          <w:rFonts w:hint="eastAsia"/>
          <w:sz w:val="28"/>
          <w:szCs w:val="36"/>
        </w:rPr>
      </w:pPr>
      <w:r>
        <w:rPr>
          <w:rFonts w:hint="eastAsia"/>
          <w:sz w:val="28"/>
          <w:szCs w:val="36"/>
        </w:rPr>
        <w:t>11、您知道房地产行业国地税合并后税局重点稽查的内容吗？</w:t>
      </w:r>
    </w:p>
    <w:p>
      <w:pPr>
        <w:rPr>
          <w:rFonts w:hint="eastAsia"/>
          <w:sz w:val="28"/>
          <w:szCs w:val="36"/>
        </w:rPr>
      </w:pPr>
      <w:r>
        <w:rPr>
          <w:rFonts w:hint="eastAsia"/>
          <w:sz w:val="28"/>
          <w:szCs w:val="36"/>
        </w:rPr>
        <w:t>12、您知道房地产业营改增后土地增值税清算时税金及附加如何扣除吗？印花税不在计入管理费用如何扣除？</w:t>
      </w:r>
    </w:p>
    <w:p>
      <w:pPr>
        <w:rPr>
          <w:rFonts w:hint="eastAsia"/>
          <w:sz w:val="28"/>
          <w:szCs w:val="36"/>
        </w:rPr>
      </w:pPr>
      <w:r>
        <w:rPr>
          <w:rFonts w:hint="eastAsia"/>
          <w:sz w:val="28"/>
          <w:szCs w:val="36"/>
        </w:rPr>
        <w:t>13、您知道房地产业营改增后土地增值税清算时购买的土地成本如何扣除吗？分离的税抵减了销项税额，土增税清算如何处理？</w:t>
      </w:r>
    </w:p>
    <w:p>
      <w:pPr>
        <w:rPr>
          <w:rFonts w:hint="eastAsia"/>
          <w:sz w:val="28"/>
          <w:szCs w:val="36"/>
        </w:rPr>
      </w:pPr>
      <w:r>
        <w:rPr>
          <w:rFonts w:hint="eastAsia"/>
          <w:sz w:val="28"/>
          <w:szCs w:val="36"/>
        </w:rPr>
        <w:t>14、您知道房地产业营改增后增值税进项税额抵扣的五大凭证是什么？哪两大凭证中的税额不是进项税额胜似进项税额？</w:t>
      </w:r>
    </w:p>
    <w:p>
      <w:pPr>
        <w:rPr>
          <w:rFonts w:hint="eastAsia"/>
          <w:sz w:val="28"/>
          <w:szCs w:val="36"/>
        </w:rPr>
      </w:pPr>
      <w:r>
        <w:rPr>
          <w:rFonts w:hint="eastAsia"/>
          <w:sz w:val="28"/>
          <w:szCs w:val="36"/>
        </w:rPr>
        <w:t>15、您知道国地税合并后房地产企业从筹建、买地、规划、开发、预收、销售、融资、清盘等各环节新的会计处理、纳税处理及申报表的实务操作方法与技巧吗？</w:t>
      </w:r>
    </w:p>
    <w:p>
      <w:pPr>
        <w:rPr>
          <w:rFonts w:hint="eastAsia"/>
          <w:sz w:val="28"/>
          <w:szCs w:val="36"/>
        </w:rPr>
      </w:pPr>
      <w:r>
        <w:rPr>
          <w:rFonts w:hint="eastAsia"/>
          <w:sz w:val="28"/>
          <w:szCs w:val="36"/>
        </w:rPr>
        <w:t>欢迎您参加边老师亲自授课的《国地税合并新征管模式下房地产企业开发经营各环节会计核算、纳税处理与申报表编制实务操作》特训班，彻底帮助您全面掌控营改增后房地产企业从筹建、买地、规划、开发、预售、完工销售、融资、清盘等各环节的会计处理与纳税实务操作方法与技巧，正确做好房地产企业营改增后的税务规划，减轻企业税负，提高自身价值！</w:t>
      </w:r>
    </w:p>
    <w:p>
      <w:pPr>
        <w:numPr>
          <w:ilvl w:val="0"/>
          <w:numId w:val="1"/>
        </w:numPr>
        <w:rPr>
          <w:rFonts w:hint="eastAsia"/>
          <w:b/>
          <w:bCs/>
          <w:color w:val="FF0000"/>
          <w:sz w:val="28"/>
          <w:szCs w:val="28"/>
        </w:rPr>
      </w:pPr>
      <w:r>
        <w:rPr>
          <w:rFonts w:hint="eastAsia"/>
          <w:b/>
          <w:bCs/>
          <w:color w:val="FF0000"/>
          <w:sz w:val="28"/>
          <w:szCs w:val="36"/>
        </w:rPr>
        <w:t>【</w:t>
      </w:r>
      <w:r>
        <w:rPr>
          <w:rFonts w:hint="eastAsia"/>
          <w:b/>
          <w:bCs/>
          <w:color w:val="FF0000"/>
          <w:sz w:val="28"/>
          <w:szCs w:val="36"/>
          <w:lang w:eastAsia="zh-CN"/>
        </w:rPr>
        <w:t>学期及费用</w:t>
      </w:r>
      <w:r>
        <w:rPr>
          <w:rFonts w:hint="eastAsia"/>
          <w:b/>
          <w:bCs/>
          <w:color w:val="FF0000"/>
          <w:sz w:val="28"/>
          <w:szCs w:val="36"/>
        </w:rPr>
        <w:t>】</w:t>
      </w:r>
      <w:r>
        <w:rPr>
          <w:rFonts w:hint="eastAsia"/>
          <w:color w:val="FF0000"/>
          <w:sz w:val="28"/>
          <w:szCs w:val="36"/>
        </w:rPr>
        <w:t xml:space="preserve"> </w:t>
      </w:r>
    </w:p>
    <w:p>
      <w:pPr>
        <w:numPr>
          <w:ilvl w:val="0"/>
          <w:numId w:val="0"/>
        </w:numPr>
        <w:rPr>
          <w:rFonts w:hint="eastAsia"/>
          <w:b/>
          <w:bCs/>
          <w:color w:val="FF0000"/>
          <w:sz w:val="28"/>
          <w:szCs w:val="28"/>
        </w:rPr>
      </w:pPr>
      <w:r>
        <w:rPr>
          <w:rFonts w:hint="eastAsia"/>
          <w:b/>
          <w:bCs/>
          <w:color w:val="auto"/>
          <w:sz w:val="28"/>
          <w:szCs w:val="28"/>
          <w:lang w:eastAsia="zh-CN"/>
        </w:rPr>
        <w:t>学习时间：</w:t>
      </w:r>
      <w:r>
        <w:rPr>
          <w:rFonts w:hint="eastAsia"/>
          <w:sz w:val="28"/>
          <w:szCs w:val="36"/>
          <w:lang w:val="en-US" w:eastAsia="zh-CN"/>
        </w:rPr>
        <w:t>4月13-15日</w:t>
      </w:r>
      <w:r>
        <w:rPr>
          <w:rFonts w:hint="eastAsia"/>
          <w:sz w:val="28"/>
          <w:szCs w:val="36"/>
        </w:rPr>
        <w:t>共</w:t>
      </w:r>
      <w:r>
        <w:rPr>
          <w:rFonts w:hint="eastAsia"/>
          <w:sz w:val="28"/>
          <w:szCs w:val="36"/>
          <w:lang w:eastAsia="zh-CN"/>
        </w:rPr>
        <w:t>三</w:t>
      </w:r>
      <w:r>
        <w:rPr>
          <w:rFonts w:hint="eastAsia"/>
          <w:sz w:val="28"/>
          <w:szCs w:val="36"/>
        </w:rPr>
        <w:t>天</w:t>
      </w:r>
      <w:r>
        <w:rPr>
          <w:rFonts w:hint="eastAsia"/>
          <w:sz w:val="28"/>
          <w:szCs w:val="36"/>
          <w:lang w:eastAsia="zh-CN"/>
        </w:rPr>
        <w:t>两</w:t>
      </w:r>
      <w:r>
        <w:rPr>
          <w:rFonts w:hint="eastAsia"/>
          <w:sz w:val="28"/>
          <w:szCs w:val="36"/>
        </w:rPr>
        <w:t>晚</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default"/>
          <w:sz w:val="28"/>
          <w:szCs w:val="28"/>
          <w:lang w:val="en-US" w:eastAsia="zh-CN"/>
        </w:rPr>
      </w:pPr>
      <w:r>
        <w:rPr>
          <w:rFonts w:hint="eastAsia"/>
          <w:b/>
          <w:bCs/>
          <w:color w:val="auto"/>
          <w:sz w:val="28"/>
          <w:szCs w:val="28"/>
          <w:lang w:eastAsia="zh-CN"/>
        </w:rPr>
        <w:t>学习费用：</w:t>
      </w:r>
      <w:r>
        <w:rPr>
          <w:rFonts w:hint="eastAsia"/>
          <w:sz w:val="28"/>
          <w:szCs w:val="28"/>
          <w:lang w:eastAsia="zh-CN"/>
        </w:rPr>
        <w:t>学费</w:t>
      </w:r>
      <w:r>
        <w:rPr>
          <w:rFonts w:hint="eastAsia"/>
          <w:sz w:val="28"/>
          <w:szCs w:val="28"/>
          <w:lang w:val="en-US" w:eastAsia="zh-CN"/>
        </w:rPr>
        <w:t>6980元</w:t>
      </w:r>
    </w:p>
    <w:p>
      <w:pPr>
        <w:rPr>
          <w:rFonts w:hint="eastAsia"/>
          <w:sz w:val="28"/>
          <w:szCs w:val="36"/>
        </w:rPr>
      </w:pPr>
      <w:r>
        <w:rPr>
          <w:rFonts w:hint="eastAsia"/>
          <w:b/>
          <w:bCs/>
          <w:color w:val="FF0000"/>
          <w:sz w:val="28"/>
          <w:szCs w:val="36"/>
        </w:rPr>
        <w:t xml:space="preserve">三、【培训特点】   </w:t>
      </w:r>
      <w:r>
        <w:rPr>
          <w:rFonts w:hint="eastAsia"/>
          <w:sz w:val="28"/>
          <w:szCs w:val="36"/>
        </w:rPr>
        <w:t xml:space="preserve"> </w:t>
      </w:r>
    </w:p>
    <w:p>
      <w:pPr>
        <w:rPr>
          <w:rFonts w:hint="eastAsia"/>
          <w:sz w:val="28"/>
          <w:szCs w:val="36"/>
        </w:rPr>
      </w:pPr>
      <w:r>
        <w:rPr>
          <w:rFonts w:hint="eastAsia"/>
          <w:sz w:val="28"/>
          <w:szCs w:val="36"/>
        </w:rPr>
        <w:t>【讲解与讨论互动】手把手教，面对面谈，易学易懂易用</w:t>
      </w:r>
    </w:p>
    <w:p>
      <w:pPr>
        <w:rPr>
          <w:rFonts w:hint="eastAsia"/>
          <w:sz w:val="28"/>
          <w:szCs w:val="36"/>
        </w:rPr>
      </w:pPr>
      <w:r>
        <w:rPr>
          <w:rFonts w:hint="eastAsia"/>
          <w:sz w:val="28"/>
          <w:szCs w:val="36"/>
        </w:rPr>
        <w:t>【提问与解答互动】凝炼思路，讲解工具，解决实际问题</w:t>
      </w:r>
    </w:p>
    <w:p>
      <w:pPr>
        <w:rPr>
          <w:rFonts w:hint="eastAsia"/>
          <w:sz w:val="28"/>
          <w:szCs w:val="36"/>
        </w:rPr>
      </w:pPr>
      <w:r>
        <w:rPr>
          <w:rFonts w:hint="eastAsia"/>
          <w:sz w:val="28"/>
          <w:szCs w:val="36"/>
        </w:rPr>
        <w:t>【增值与更新互动】头脑风暴，贴近实战，更新知识体系</w:t>
      </w:r>
    </w:p>
    <w:p>
      <w:pPr>
        <w:rPr>
          <w:rFonts w:hint="eastAsia"/>
          <w:sz w:val="28"/>
          <w:szCs w:val="36"/>
        </w:rPr>
      </w:pPr>
      <w:r>
        <w:rPr>
          <w:rFonts w:hint="eastAsia"/>
          <w:sz w:val="28"/>
          <w:szCs w:val="36"/>
        </w:rPr>
        <w:t>【理论与实践互动】案例讲解，结合实际，加速价值裂变</w:t>
      </w:r>
    </w:p>
    <w:p>
      <w:pPr>
        <w:rPr>
          <w:rFonts w:hint="eastAsia"/>
          <w:b/>
          <w:bCs/>
          <w:color w:val="FF0000"/>
          <w:sz w:val="28"/>
          <w:szCs w:val="36"/>
        </w:rPr>
      </w:pPr>
      <w:r>
        <w:rPr>
          <w:rFonts w:hint="eastAsia"/>
          <w:b/>
          <w:bCs/>
          <w:color w:val="FF0000"/>
          <w:sz w:val="28"/>
          <w:szCs w:val="36"/>
        </w:rPr>
        <w:t>四、【课程收益】</w:t>
      </w:r>
    </w:p>
    <w:p>
      <w:pPr>
        <w:rPr>
          <w:rFonts w:hint="eastAsia"/>
          <w:sz w:val="28"/>
          <w:szCs w:val="36"/>
        </w:rPr>
      </w:pPr>
      <w:r>
        <w:rPr>
          <w:rFonts w:hint="eastAsia"/>
          <w:sz w:val="28"/>
          <w:szCs w:val="36"/>
        </w:rPr>
        <w:t>1、让学员系统掌握国地税合并新征管模式下房地产业会计核算、账簿设置、成本核算方法等技巧；纳税申报的具体方法和技巧。</w:t>
      </w:r>
    </w:p>
    <w:p>
      <w:pPr>
        <w:rPr>
          <w:rFonts w:hint="eastAsia"/>
          <w:sz w:val="28"/>
          <w:szCs w:val="36"/>
        </w:rPr>
      </w:pPr>
      <w:r>
        <w:rPr>
          <w:rFonts w:hint="eastAsia"/>
          <w:sz w:val="28"/>
          <w:szCs w:val="36"/>
        </w:rPr>
        <w:t>2、让学员正确把握最新的税收政策及在房地产企业各个环节实际工作中的运用；</w:t>
      </w:r>
    </w:p>
    <w:p>
      <w:pPr>
        <w:rPr>
          <w:rFonts w:hint="eastAsia"/>
          <w:sz w:val="28"/>
          <w:szCs w:val="36"/>
        </w:rPr>
      </w:pPr>
      <w:r>
        <w:rPr>
          <w:rFonts w:hint="eastAsia"/>
          <w:sz w:val="28"/>
          <w:szCs w:val="36"/>
        </w:rPr>
        <w:t>3、让学员掌握国地税合并对房地产企业的影响与应对方法；</w:t>
      </w:r>
    </w:p>
    <w:p>
      <w:pPr>
        <w:rPr>
          <w:rFonts w:hint="eastAsia"/>
          <w:sz w:val="28"/>
          <w:szCs w:val="36"/>
        </w:rPr>
      </w:pPr>
      <w:r>
        <w:rPr>
          <w:rFonts w:hint="eastAsia"/>
          <w:sz w:val="28"/>
          <w:szCs w:val="36"/>
        </w:rPr>
        <w:t>4、帮助学员在实际工作中建立合理的纳税体系与动态防范机制；</w:t>
      </w:r>
    </w:p>
    <w:p>
      <w:pPr>
        <w:rPr>
          <w:rFonts w:hint="eastAsia"/>
          <w:sz w:val="28"/>
          <w:szCs w:val="36"/>
        </w:rPr>
      </w:pPr>
      <w:r>
        <w:rPr>
          <w:rFonts w:hint="eastAsia"/>
          <w:sz w:val="28"/>
          <w:szCs w:val="36"/>
        </w:rPr>
        <w:t>5、让学员掌握增值税、所得税、土增税等10大税种在实际工作中具体核算与申报方法；</w:t>
      </w:r>
    </w:p>
    <w:p>
      <w:pPr>
        <w:rPr>
          <w:rFonts w:hint="eastAsia"/>
          <w:sz w:val="28"/>
          <w:szCs w:val="36"/>
        </w:rPr>
      </w:pPr>
      <w:r>
        <w:rPr>
          <w:rFonts w:hint="eastAsia"/>
          <w:sz w:val="28"/>
          <w:szCs w:val="36"/>
        </w:rPr>
        <w:t>6、帮助您迅速提升房地产企业的核算与管理水平，充分展示您在公司及在同行中的个人价值和魅力。</w:t>
      </w:r>
    </w:p>
    <w:p>
      <w:pPr>
        <w:rPr>
          <w:rFonts w:hint="eastAsia"/>
          <w:sz w:val="28"/>
          <w:szCs w:val="36"/>
        </w:rPr>
      </w:pPr>
      <w:r>
        <w:rPr>
          <w:rFonts w:hint="eastAsia"/>
          <w:sz w:val="28"/>
          <w:szCs w:val="36"/>
        </w:rPr>
        <w:t>7、让学员通过</w:t>
      </w:r>
      <w:r>
        <w:rPr>
          <w:rFonts w:hint="eastAsia"/>
          <w:sz w:val="28"/>
          <w:szCs w:val="36"/>
          <w:lang w:eastAsia="zh-CN"/>
        </w:rPr>
        <w:t>三</w:t>
      </w:r>
      <w:r>
        <w:rPr>
          <w:rFonts w:hint="eastAsia"/>
          <w:sz w:val="28"/>
          <w:szCs w:val="36"/>
        </w:rPr>
        <w:t>天</w:t>
      </w:r>
      <w:r>
        <w:rPr>
          <w:rFonts w:hint="eastAsia"/>
          <w:sz w:val="28"/>
          <w:szCs w:val="36"/>
          <w:lang w:eastAsia="zh-CN"/>
        </w:rPr>
        <w:t>两</w:t>
      </w:r>
      <w:r>
        <w:rPr>
          <w:rFonts w:hint="eastAsia"/>
          <w:sz w:val="28"/>
          <w:szCs w:val="36"/>
        </w:rPr>
        <w:t>晚</w:t>
      </w:r>
      <w:r>
        <w:rPr>
          <w:rFonts w:hint="eastAsia"/>
          <w:sz w:val="28"/>
          <w:szCs w:val="36"/>
          <w:lang w:eastAsia="zh-CN"/>
        </w:rPr>
        <w:t>的</w:t>
      </w:r>
      <w:r>
        <w:rPr>
          <w:rFonts w:hint="eastAsia"/>
          <w:sz w:val="28"/>
          <w:szCs w:val="36"/>
        </w:rPr>
        <w:t>学习，掌握房地产业会计核算、纳税申报的技术特点和技能，一日学习，终身受用。</w:t>
      </w:r>
    </w:p>
    <w:p>
      <w:pPr>
        <w:rPr>
          <w:rFonts w:hint="eastAsia"/>
          <w:b/>
          <w:bCs/>
          <w:color w:val="FF0000"/>
          <w:sz w:val="28"/>
          <w:szCs w:val="36"/>
        </w:rPr>
      </w:pPr>
      <w:r>
        <w:rPr>
          <w:rFonts w:hint="eastAsia"/>
          <w:b/>
          <w:bCs/>
          <w:color w:val="FF0000"/>
          <w:sz w:val="28"/>
          <w:szCs w:val="36"/>
        </w:rPr>
        <w:t>五、【课程大纲】</w:t>
      </w:r>
    </w:p>
    <w:p>
      <w:pPr>
        <w:rPr>
          <w:rFonts w:hint="eastAsia"/>
          <w:b/>
          <w:bCs/>
          <w:sz w:val="28"/>
          <w:szCs w:val="36"/>
        </w:rPr>
      </w:pPr>
      <w:r>
        <w:rPr>
          <w:rFonts w:hint="eastAsia"/>
          <w:b/>
          <w:bCs/>
          <w:sz w:val="28"/>
          <w:szCs w:val="36"/>
        </w:rPr>
        <w:t>第一部分、201</w:t>
      </w:r>
      <w:r>
        <w:rPr>
          <w:rFonts w:hint="eastAsia"/>
          <w:b/>
          <w:bCs/>
          <w:sz w:val="28"/>
          <w:szCs w:val="36"/>
          <w:lang w:val="en-US" w:eastAsia="zh-CN"/>
        </w:rPr>
        <w:t>9</w:t>
      </w:r>
      <w:r>
        <w:rPr>
          <w:rFonts w:hint="eastAsia"/>
          <w:b/>
          <w:bCs/>
          <w:sz w:val="28"/>
          <w:szCs w:val="36"/>
        </w:rPr>
        <w:t>年税制改革动态分析</w:t>
      </w:r>
    </w:p>
    <w:p>
      <w:pPr>
        <w:rPr>
          <w:rFonts w:hint="eastAsia"/>
          <w:sz w:val="28"/>
          <w:szCs w:val="36"/>
        </w:rPr>
      </w:pPr>
      <w:r>
        <w:rPr>
          <w:rFonts w:hint="eastAsia"/>
          <w:sz w:val="28"/>
          <w:szCs w:val="36"/>
        </w:rPr>
        <w:t>1、什么是金税三期？什么是“十二金”联网？对企业有哪些重大影响？</w:t>
      </w:r>
    </w:p>
    <w:p>
      <w:pPr>
        <w:rPr>
          <w:rFonts w:hint="eastAsia"/>
          <w:sz w:val="28"/>
          <w:szCs w:val="36"/>
        </w:rPr>
      </w:pPr>
      <w:r>
        <w:rPr>
          <w:rFonts w:hint="eastAsia"/>
          <w:sz w:val="28"/>
          <w:szCs w:val="36"/>
        </w:rPr>
        <w:t>2、国地税合并后对企业的重大影响？企业如何应对？</w:t>
      </w:r>
    </w:p>
    <w:p>
      <w:pPr>
        <w:rPr>
          <w:rFonts w:hint="eastAsia"/>
          <w:sz w:val="28"/>
          <w:szCs w:val="36"/>
        </w:rPr>
      </w:pPr>
      <w:r>
        <w:rPr>
          <w:rFonts w:hint="eastAsia"/>
          <w:sz w:val="28"/>
          <w:szCs w:val="36"/>
        </w:rPr>
        <w:t>3、、增值税税率降低后对企业的影响？如何开具发票？</w:t>
      </w:r>
    </w:p>
    <w:p>
      <w:pPr>
        <w:rPr>
          <w:rFonts w:hint="eastAsia"/>
          <w:sz w:val="28"/>
          <w:szCs w:val="36"/>
        </w:rPr>
      </w:pPr>
      <w:r>
        <w:rPr>
          <w:rFonts w:hint="eastAsia"/>
          <w:sz w:val="28"/>
          <w:szCs w:val="36"/>
        </w:rPr>
        <w:t>4、个人所得税改革趋势及新动态</w:t>
      </w:r>
    </w:p>
    <w:p>
      <w:pPr>
        <w:rPr>
          <w:rFonts w:hint="eastAsia"/>
          <w:sz w:val="28"/>
          <w:szCs w:val="36"/>
        </w:rPr>
      </w:pPr>
      <w:r>
        <w:rPr>
          <w:rFonts w:hint="eastAsia"/>
          <w:sz w:val="28"/>
          <w:szCs w:val="36"/>
        </w:rPr>
        <w:t>5、房地产税改革趋势及新动态</w:t>
      </w:r>
    </w:p>
    <w:p>
      <w:pPr>
        <w:rPr>
          <w:rFonts w:hint="eastAsia"/>
          <w:b/>
          <w:bCs/>
          <w:sz w:val="28"/>
          <w:szCs w:val="36"/>
        </w:rPr>
      </w:pPr>
      <w:r>
        <w:rPr>
          <w:rFonts w:hint="eastAsia"/>
          <w:b/>
          <w:bCs/>
          <w:sz w:val="28"/>
          <w:szCs w:val="36"/>
        </w:rPr>
        <w:t>第二部分：国地税合并新征管模式下房地产企业建账与会计核算</w:t>
      </w:r>
    </w:p>
    <w:p>
      <w:pPr>
        <w:rPr>
          <w:rFonts w:hint="eastAsia"/>
          <w:sz w:val="28"/>
          <w:szCs w:val="36"/>
        </w:rPr>
      </w:pPr>
      <w:r>
        <w:rPr>
          <w:rFonts w:hint="eastAsia"/>
          <w:sz w:val="28"/>
          <w:szCs w:val="36"/>
        </w:rPr>
        <w:t xml:space="preserve">一、房地产会计核算的特点  </w:t>
      </w:r>
    </w:p>
    <w:p>
      <w:pPr>
        <w:rPr>
          <w:rFonts w:hint="eastAsia"/>
          <w:sz w:val="28"/>
          <w:szCs w:val="36"/>
        </w:rPr>
      </w:pPr>
      <w:r>
        <w:rPr>
          <w:rFonts w:hint="eastAsia"/>
          <w:sz w:val="28"/>
          <w:szCs w:val="36"/>
        </w:rPr>
        <w:t xml:space="preserve">二、常用的会计科目        </w:t>
      </w:r>
    </w:p>
    <w:p>
      <w:pPr>
        <w:rPr>
          <w:rFonts w:hint="eastAsia"/>
          <w:sz w:val="28"/>
          <w:szCs w:val="36"/>
        </w:rPr>
      </w:pPr>
      <w:r>
        <w:rPr>
          <w:rFonts w:hint="eastAsia"/>
          <w:sz w:val="28"/>
          <w:szCs w:val="36"/>
        </w:rPr>
        <w:t>三、营改增后如何建账？一般纳税人建哪八本账？应交税费三栏账如何设置？</w:t>
      </w:r>
    </w:p>
    <w:p>
      <w:pPr>
        <w:rPr>
          <w:rFonts w:hint="eastAsia"/>
          <w:sz w:val="28"/>
          <w:szCs w:val="36"/>
        </w:rPr>
      </w:pPr>
      <w:r>
        <w:rPr>
          <w:rFonts w:hint="eastAsia"/>
          <w:sz w:val="28"/>
          <w:szCs w:val="36"/>
        </w:rPr>
        <w:t xml:space="preserve">1、如何设立“应交税费---应交增值税明细账”十个专栏的明细账？每个专栏核算的内容是什么？  </w:t>
      </w:r>
    </w:p>
    <w:p>
      <w:pPr>
        <w:rPr>
          <w:rFonts w:hint="eastAsia"/>
          <w:sz w:val="28"/>
          <w:szCs w:val="36"/>
        </w:rPr>
      </w:pPr>
      <w:r>
        <w:rPr>
          <w:rFonts w:hint="eastAsia"/>
          <w:sz w:val="28"/>
          <w:szCs w:val="36"/>
        </w:rPr>
        <w:t>2、如何确认成本核算对象</w:t>
      </w:r>
    </w:p>
    <w:p>
      <w:pPr>
        <w:rPr>
          <w:rFonts w:hint="eastAsia"/>
          <w:sz w:val="28"/>
          <w:szCs w:val="36"/>
        </w:rPr>
      </w:pPr>
      <w:r>
        <w:rPr>
          <w:rFonts w:hint="eastAsia"/>
          <w:sz w:val="28"/>
          <w:szCs w:val="36"/>
        </w:rPr>
        <w:t>3、确定成本对象的原则</w:t>
      </w:r>
    </w:p>
    <w:p>
      <w:pPr>
        <w:rPr>
          <w:rFonts w:hint="eastAsia"/>
          <w:sz w:val="28"/>
          <w:szCs w:val="36"/>
        </w:rPr>
      </w:pPr>
      <w:r>
        <w:rPr>
          <w:rFonts w:hint="eastAsia"/>
          <w:sz w:val="28"/>
          <w:szCs w:val="36"/>
        </w:rPr>
        <w:t xml:space="preserve">4、确定成本核算对象方法      </w:t>
      </w:r>
    </w:p>
    <w:p>
      <w:pPr>
        <w:rPr>
          <w:rFonts w:hint="eastAsia"/>
          <w:sz w:val="28"/>
          <w:szCs w:val="36"/>
        </w:rPr>
      </w:pPr>
      <w:r>
        <w:rPr>
          <w:rFonts w:hint="eastAsia"/>
          <w:sz w:val="28"/>
          <w:szCs w:val="36"/>
        </w:rPr>
        <w:t>5、成本核算对象和成本项目之间的关系</w:t>
      </w:r>
    </w:p>
    <w:p>
      <w:pPr>
        <w:rPr>
          <w:rFonts w:hint="eastAsia"/>
          <w:sz w:val="28"/>
          <w:szCs w:val="36"/>
        </w:rPr>
      </w:pPr>
      <w:r>
        <w:rPr>
          <w:rFonts w:hint="eastAsia"/>
          <w:sz w:val="28"/>
          <w:szCs w:val="36"/>
        </w:rPr>
        <w:t>四、房地产开发成本的会计核算</w:t>
      </w:r>
    </w:p>
    <w:p>
      <w:pPr>
        <w:rPr>
          <w:rFonts w:hint="eastAsia"/>
          <w:sz w:val="28"/>
          <w:szCs w:val="36"/>
        </w:rPr>
      </w:pPr>
      <w:r>
        <w:rPr>
          <w:rFonts w:hint="eastAsia"/>
          <w:sz w:val="28"/>
          <w:szCs w:val="36"/>
        </w:rPr>
        <w:t xml:space="preserve">1、开发成本的构成和成本明细账的设置        </w:t>
      </w:r>
    </w:p>
    <w:p>
      <w:pPr>
        <w:rPr>
          <w:rFonts w:hint="eastAsia"/>
          <w:sz w:val="28"/>
          <w:szCs w:val="36"/>
        </w:rPr>
      </w:pPr>
      <w:r>
        <w:rPr>
          <w:rFonts w:hint="eastAsia"/>
          <w:sz w:val="28"/>
          <w:szCs w:val="36"/>
        </w:rPr>
        <w:t>2、取得土地后的涉税账务处理</w:t>
      </w:r>
    </w:p>
    <w:p>
      <w:pPr>
        <w:rPr>
          <w:rFonts w:hint="eastAsia"/>
          <w:sz w:val="28"/>
          <w:szCs w:val="36"/>
        </w:rPr>
      </w:pPr>
      <w:r>
        <w:rPr>
          <w:rFonts w:hint="eastAsia"/>
          <w:sz w:val="28"/>
          <w:szCs w:val="36"/>
        </w:rPr>
        <w:t>3、前期工程费用核算的内容及核算方法</w:t>
      </w:r>
    </w:p>
    <w:p>
      <w:pPr>
        <w:rPr>
          <w:rFonts w:hint="eastAsia"/>
          <w:sz w:val="28"/>
          <w:szCs w:val="36"/>
        </w:rPr>
      </w:pPr>
      <w:r>
        <w:rPr>
          <w:rFonts w:hint="eastAsia"/>
          <w:sz w:val="28"/>
          <w:szCs w:val="36"/>
        </w:rPr>
        <w:t>4、建设安装工程费核算的内容及核算方法</w:t>
      </w:r>
    </w:p>
    <w:p>
      <w:pPr>
        <w:rPr>
          <w:rFonts w:hint="eastAsia"/>
          <w:sz w:val="28"/>
          <w:szCs w:val="36"/>
        </w:rPr>
      </w:pPr>
      <w:r>
        <w:rPr>
          <w:rFonts w:hint="eastAsia"/>
          <w:sz w:val="28"/>
          <w:szCs w:val="36"/>
        </w:rPr>
        <w:t>5、基础设施的建造核算的内容及方法</w:t>
      </w:r>
    </w:p>
    <w:p>
      <w:pPr>
        <w:rPr>
          <w:rFonts w:hint="eastAsia"/>
          <w:sz w:val="28"/>
          <w:szCs w:val="36"/>
        </w:rPr>
      </w:pPr>
      <w:r>
        <w:rPr>
          <w:rFonts w:hint="eastAsia"/>
          <w:sz w:val="28"/>
          <w:szCs w:val="36"/>
        </w:rPr>
        <w:t>6、公共配套核算的内容及方法</w:t>
      </w:r>
    </w:p>
    <w:p>
      <w:pPr>
        <w:rPr>
          <w:rFonts w:hint="eastAsia"/>
          <w:sz w:val="28"/>
          <w:szCs w:val="36"/>
        </w:rPr>
      </w:pPr>
      <w:r>
        <w:rPr>
          <w:rFonts w:hint="eastAsia"/>
          <w:sz w:val="28"/>
          <w:szCs w:val="36"/>
        </w:rPr>
        <w:t>7、开发间接费：</w:t>
      </w:r>
    </w:p>
    <w:p>
      <w:pPr>
        <w:rPr>
          <w:rFonts w:hint="eastAsia"/>
          <w:sz w:val="28"/>
          <w:szCs w:val="36"/>
        </w:rPr>
      </w:pPr>
      <w:r>
        <w:rPr>
          <w:rFonts w:hint="eastAsia"/>
          <w:sz w:val="28"/>
          <w:szCs w:val="36"/>
        </w:rPr>
        <w:t xml:space="preserve">⑴区分开发间接费与期间费用  </w:t>
      </w:r>
    </w:p>
    <w:p>
      <w:pPr>
        <w:rPr>
          <w:rFonts w:hint="eastAsia"/>
          <w:sz w:val="28"/>
          <w:szCs w:val="36"/>
        </w:rPr>
      </w:pPr>
      <w:r>
        <w:rPr>
          <w:rFonts w:hint="eastAsia"/>
          <w:sz w:val="28"/>
          <w:szCs w:val="36"/>
        </w:rPr>
        <w:t>⑵“开发间接费”科目核算的内容及方法</w:t>
      </w:r>
    </w:p>
    <w:p>
      <w:pPr>
        <w:rPr>
          <w:rFonts w:hint="eastAsia"/>
          <w:sz w:val="28"/>
          <w:szCs w:val="36"/>
        </w:rPr>
      </w:pPr>
      <w:r>
        <w:rPr>
          <w:rFonts w:hint="eastAsia"/>
          <w:sz w:val="28"/>
          <w:szCs w:val="36"/>
        </w:rPr>
        <w:t xml:space="preserve">8、成本归集、分配及结转的会计处理      </w:t>
      </w:r>
    </w:p>
    <w:p>
      <w:pPr>
        <w:rPr>
          <w:rFonts w:hint="eastAsia"/>
          <w:sz w:val="28"/>
          <w:szCs w:val="36"/>
        </w:rPr>
      </w:pPr>
      <w:r>
        <w:rPr>
          <w:rFonts w:hint="eastAsia"/>
          <w:sz w:val="28"/>
          <w:szCs w:val="36"/>
        </w:rPr>
        <w:t>9、预提配套设施费的核算</w:t>
      </w:r>
    </w:p>
    <w:p>
      <w:pPr>
        <w:rPr>
          <w:rFonts w:hint="eastAsia"/>
          <w:sz w:val="28"/>
          <w:szCs w:val="36"/>
        </w:rPr>
      </w:pPr>
      <w:r>
        <w:rPr>
          <w:rFonts w:hint="eastAsia"/>
          <w:sz w:val="28"/>
          <w:szCs w:val="36"/>
        </w:rPr>
        <w:t>10、开发产品成本的结转</w:t>
      </w:r>
    </w:p>
    <w:p>
      <w:pPr>
        <w:rPr>
          <w:rFonts w:hint="eastAsia"/>
          <w:b/>
          <w:bCs/>
          <w:sz w:val="28"/>
          <w:szCs w:val="36"/>
        </w:rPr>
      </w:pPr>
      <w:r>
        <w:rPr>
          <w:rFonts w:hint="eastAsia"/>
          <w:b/>
          <w:bCs/>
          <w:sz w:val="28"/>
          <w:szCs w:val="36"/>
        </w:rPr>
        <w:t>第三部分：房地产企业开发经营各环节涉税新政解读与纳税处理技巧</w:t>
      </w:r>
    </w:p>
    <w:p>
      <w:pPr>
        <w:rPr>
          <w:rFonts w:hint="eastAsia"/>
          <w:sz w:val="28"/>
          <w:szCs w:val="36"/>
        </w:rPr>
      </w:pPr>
      <w:r>
        <w:rPr>
          <w:rFonts w:hint="eastAsia"/>
          <w:sz w:val="28"/>
          <w:szCs w:val="36"/>
        </w:rPr>
        <w:t>1、公司设立阶段会计处理与涉税新政解读与纳税处理技巧</w:t>
      </w:r>
    </w:p>
    <w:p>
      <w:pPr>
        <w:rPr>
          <w:rFonts w:hint="eastAsia"/>
          <w:sz w:val="28"/>
          <w:szCs w:val="36"/>
        </w:rPr>
      </w:pPr>
      <w:r>
        <w:rPr>
          <w:rFonts w:hint="eastAsia"/>
          <w:sz w:val="28"/>
          <w:szCs w:val="36"/>
        </w:rPr>
        <w:t>2、土地取得阶段会计处理与涉税新政解读与纳税处理技巧</w:t>
      </w:r>
    </w:p>
    <w:p>
      <w:pPr>
        <w:rPr>
          <w:rFonts w:hint="eastAsia"/>
          <w:sz w:val="28"/>
          <w:szCs w:val="36"/>
        </w:rPr>
      </w:pPr>
      <w:r>
        <w:rPr>
          <w:rFonts w:hint="eastAsia"/>
          <w:sz w:val="28"/>
          <w:szCs w:val="36"/>
        </w:rPr>
        <w:t>3、规划立项阶段会计处理与涉税新政解读与纳税处理技巧</w:t>
      </w:r>
    </w:p>
    <w:p>
      <w:pPr>
        <w:rPr>
          <w:rFonts w:hint="eastAsia"/>
          <w:sz w:val="28"/>
          <w:szCs w:val="36"/>
        </w:rPr>
      </w:pPr>
      <w:r>
        <w:rPr>
          <w:rFonts w:hint="eastAsia"/>
          <w:sz w:val="28"/>
          <w:szCs w:val="36"/>
        </w:rPr>
        <w:t>4、开发建设阶段会计处理与涉税新政解读与纳税处理技巧</w:t>
      </w:r>
    </w:p>
    <w:p>
      <w:pPr>
        <w:rPr>
          <w:rFonts w:hint="eastAsia"/>
          <w:sz w:val="28"/>
          <w:szCs w:val="36"/>
        </w:rPr>
      </w:pPr>
      <w:r>
        <w:rPr>
          <w:rFonts w:hint="eastAsia"/>
          <w:sz w:val="28"/>
          <w:szCs w:val="36"/>
        </w:rPr>
        <w:t>5、项目销售阶段会计处理与涉税新政解读与纳税处理技巧</w:t>
      </w:r>
    </w:p>
    <w:p>
      <w:pPr>
        <w:rPr>
          <w:rFonts w:hint="eastAsia"/>
          <w:sz w:val="28"/>
          <w:szCs w:val="36"/>
        </w:rPr>
      </w:pPr>
      <w:r>
        <w:rPr>
          <w:rFonts w:hint="eastAsia"/>
          <w:sz w:val="28"/>
          <w:szCs w:val="36"/>
        </w:rPr>
        <w:t>6、项目完工清算阶段会计处理与涉税新政解读与纳税处理技巧</w:t>
      </w:r>
    </w:p>
    <w:p>
      <w:pPr>
        <w:rPr>
          <w:rFonts w:hint="eastAsia"/>
          <w:sz w:val="28"/>
          <w:szCs w:val="36"/>
        </w:rPr>
      </w:pPr>
      <w:r>
        <w:rPr>
          <w:rFonts w:hint="eastAsia"/>
          <w:sz w:val="28"/>
          <w:szCs w:val="36"/>
        </w:rPr>
        <w:t>7、企业利润分配阶段会计处理与涉税新政解读与纳税处理技巧</w:t>
      </w:r>
    </w:p>
    <w:p>
      <w:pPr>
        <w:rPr>
          <w:rFonts w:hint="eastAsia"/>
          <w:sz w:val="28"/>
          <w:szCs w:val="36"/>
        </w:rPr>
      </w:pPr>
      <w:r>
        <w:rPr>
          <w:rFonts w:hint="eastAsia"/>
          <w:sz w:val="28"/>
          <w:szCs w:val="36"/>
        </w:rPr>
        <w:t>8、企业融资阶段会计处理与涉税新政解读与纳税处理技巧</w:t>
      </w:r>
    </w:p>
    <w:p>
      <w:pPr>
        <w:rPr>
          <w:rFonts w:hint="eastAsia"/>
          <w:sz w:val="28"/>
          <w:szCs w:val="36"/>
        </w:rPr>
      </w:pPr>
      <w:r>
        <w:rPr>
          <w:rFonts w:hint="eastAsia"/>
          <w:sz w:val="28"/>
          <w:szCs w:val="36"/>
        </w:rPr>
        <w:t>9、企业日常费用支出阶段会计处理与涉税新政解读与纳税处理技巧</w:t>
      </w:r>
    </w:p>
    <w:p>
      <w:pPr>
        <w:rPr>
          <w:rFonts w:hint="eastAsia"/>
          <w:b/>
          <w:bCs/>
          <w:sz w:val="28"/>
          <w:szCs w:val="36"/>
        </w:rPr>
      </w:pPr>
      <w:r>
        <w:rPr>
          <w:rFonts w:hint="eastAsia"/>
          <w:b/>
          <w:bCs/>
          <w:sz w:val="28"/>
          <w:szCs w:val="36"/>
        </w:rPr>
        <w:t>第四部分：增值税预交、完工时应交增值税的疑难问题解析</w:t>
      </w:r>
    </w:p>
    <w:p>
      <w:pPr>
        <w:rPr>
          <w:rFonts w:hint="eastAsia"/>
          <w:sz w:val="28"/>
          <w:szCs w:val="36"/>
        </w:rPr>
      </w:pPr>
      <w:r>
        <w:rPr>
          <w:rFonts w:hint="eastAsia"/>
          <w:sz w:val="28"/>
          <w:szCs w:val="36"/>
        </w:rPr>
        <w:t>1、增值税预交3%如何计算？账务处理？纳税申报表？</w:t>
      </w:r>
    </w:p>
    <w:p>
      <w:pPr>
        <w:rPr>
          <w:rFonts w:hint="eastAsia"/>
          <w:sz w:val="28"/>
          <w:szCs w:val="36"/>
        </w:rPr>
      </w:pPr>
      <w:r>
        <w:rPr>
          <w:rFonts w:hint="eastAsia"/>
          <w:sz w:val="28"/>
          <w:szCs w:val="36"/>
        </w:rPr>
        <w:t>2、完工时应交增值税如何计算？土地的税如何抵减销项税额？账务处理？纳税申报表如何填报？</w:t>
      </w:r>
    </w:p>
    <w:p>
      <w:pPr>
        <w:rPr>
          <w:rFonts w:hint="eastAsia"/>
          <w:b/>
          <w:bCs/>
          <w:sz w:val="28"/>
          <w:szCs w:val="36"/>
        </w:rPr>
      </w:pPr>
      <w:r>
        <w:rPr>
          <w:rFonts w:hint="eastAsia"/>
          <w:b/>
          <w:bCs/>
          <w:sz w:val="28"/>
          <w:szCs w:val="36"/>
        </w:rPr>
        <w:t>第五部分：城建税、教育费附加预交方法</w:t>
      </w:r>
    </w:p>
    <w:p>
      <w:pPr>
        <w:rPr>
          <w:rFonts w:hint="eastAsia"/>
          <w:sz w:val="28"/>
          <w:szCs w:val="36"/>
        </w:rPr>
      </w:pPr>
      <w:r>
        <w:rPr>
          <w:rFonts w:hint="eastAsia"/>
          <w:sz w:val="28"/>
          <w:szCs w:val="36"/>
        </w:rPr>
        <w:t>1、城建税、教育费附加预交计算方法</w:t>
      </w:r>
    </w:p>
    <w:p>
      <w:pPr>
        <w:rPr>
          <w:rFonts w:hint="eastAsia"/>
          <w:sz w:val="28"/>
          <w:szCs w:val="36"/>
        </w:rPr>
      </w:pPr>
      <w:r>
        <w:rPr>
          <w:rFonts w:hint="eastAsia"/>
          <w:sz w:val="28"/>
          <w:szCs w:val="36"/>
        </w:rPr>
        <w:t>2、城建税、教育费附加预交会计处理与申报方法</w:t>
      </w:r>
    </w:p>
    <w:p>
      <w:pPr>
        <w:rPr>
          <w:rFonts w:hint="eastAsia"/>
          <w:b/>
          <w:bCs/>
          <w:sz w:val="28"/>
          <w:szCs w:val="36"/>
        </w:rPr>
      </w:pPr>
      <w:r>
        <w:rPr>
          <w:rFonts w:hint="eastAsia"/>
          <w:b/>
          <w:bCs/>
          <w:sz w:val="28"/>
          <w:szCs w:val="36"/>
        </w:rPr>
        <w:t>第六部分：企业所得税预交、汇算清缴疑难问题解析</w:t>
      </w:r>
    </w:p>
    <w:p>
      <w:pPr>
        <w:rPr>
          <w:rFonts w:hint="eastAsia"/>
          <w:sz w:val="28"/>
          <w:szCs w:val="36"/>
        </w:rPr>
      </w:pPr>
      <w:r>
        <w:rPr>
          <w:rFonts w:hint="eastAsia"/>
          <w:sz w:val="28"/>
          <w:szCs w:val="36"/>
        </w:rPr>
        <w:t>1、确认开发产品完工的条件是什么？</w:t>
      </w:r>
    </w:p>
    <w:p>
      <w:pPr>
        <w:rPr>
          <w:rFonts w:hint="eastAsia"/>
          <w:sz w:val="28"/>
          <w:szCs w:val="36"/>
        </w:rPr>
      </w:pPr>
      <w:r>
        <w:rPr>
          <w:rFonts w:hint="eastAsia"/>
          <w:sz w:val="28"/>
          <w:szCs w:val="36"/>
        </w:rPr>
        <w:t>2、房地产企业销售未完工产品取得预收款的所得税如何处理？</w:t>
      </w:r>
    </w:p>
    <w:p>
      <w:pPr>
        <w:rPr>
          <w:rFonts w:hint="eastAsia"/>
          <w:sz w:val="28"/>
          <w:szCs w:val="36"/>
        </w:rPr>
      </w:pPr>
      <w:r>
        <w:rPr>
          <w:rFonts w:hint="eastAsia"/>
          <w:sz w:val="28"/>
          <w:szCs w:val="36"/>
        </w:rPr>
        <w:t>3、房地产企业预计计税毛利率如何确定？</w:t>
      </w:r>
    </w:p>
    <w:p>
      <w:pPr>
        <w:rPr>
          <w:rFonts w:hint="eastAsia"/>
          <w:sz w:val="28"/>
          <w:szCs w:val="36"/>
        </w:rPr>
      </w:pPr>
      <w:r>
        <w:rPr>
          <w:rFonts w:hint="eastAsia"/>
          <w:sz w:val="28"/>
          <w:szCs w:val="36"/>
        </w:rPr>
        <w:t>4、开发产品预收款何时确认收入实现？</w:t>
      </w:r>
    </w:p>
    <w:p>
      <w:pPr>
        <w:rPr>
          <w:rFonts w:hint="eastAsia"/>
          <w:sz w:val="28"/>
          <w:szCs w:val="36"/>
        </w:rPr>
      </w:pPr>
      <w:r>
        <w:rPr>
          <w:rFonts w:hint="eastAsia"/>
          <w:sz w:val="28"/>
          <w:szCs w:val="36"/>
        </w:rPr>
        <w:t>5、开发产品未完工销售收入如何确认？</w:t>
      </w:r>
    </w:p>
    <w:p>
      <w:pPr>
        <w:rPr>
          <w:rFonts w:hint="eastAsia"/>
          <w:sz w:val="28"/>
          <w:szCs w:val="36"/>
        </w:rPr>
      </w:pPr>
      <w:r>
        <w:rPr>
          <w:rFonts w:hint="eastAsia"/>
          <w:sz w:val="28"/>
          <w:szCs w:val="36"/>
        </w:rPr>
        <w:t>6、开发企业代有关部门、单位和企业收取的各种基金、费用和附加等，是否应确认为销售收入？</w:t>
      </w:r>
    </w:p>
    <w:p>
      <w:pPr>
        <w:rPr>
          <w:rFonts w:hint="eastAsia"/>
          <w:sz w:val="28"/>
          <w:szCs w:val="36"/>
        </w:rPr>
      </w:pPr>
      <w:r>
        <w:rPr>
          <w:rFonts w:hint="eastAsia"/>
          <w:sz w:val="28"/>
          <w:szCs w:val="36"/>
        </w:rPr>
        <w:t>7、开发企业通过正式签订《房地产销售合同》或《房地产预售合同》所取得的收入，应在何时确认为销售收入的实现？收入的金额如何确定？</w:t>
      </w:r>
    </w:p>
    <w:p>
      <w:pPr>
        <w:rPr>
          <w:rFonts w:hint="eastAsia"/>
          <w:sz w:val="28"/>
          <w:szCs w:val="36"/>
        </w:rPr>
      </w:pPr>
      <w:r>
        <w:rPr>
          <w:rFonts w:hint="eastAsia"/>
          <w:sz w:val="28"/>
          <w:szCs w:val="36"/>
        </w:rPr>
        <w:t>8、哪些情况下须对开发产品视同销售计缴所得税？视同销售的收入如何确认？</w:t>
      </w:r>
    </w:p>
    <w:p>
      <w:pPr>
        <w:rPr>
          <w:rFonts w:hint="eastAsia"/>
          <w:sz w:val="28"/>
          <w:szCs w:val="36"/>
        </w:rPr>
      </w:pPr>
      <w:r>
        <w:rPr>
          <w:rFonts w:hint="eastAsia"/>
          <w:sz w:val="28"/>
          <w:szCs w:val="36"/>
        </w:rPr>
        <w:t>9、“以地换房”方式取得土地使用权的，土地成本如何确定？</w:t>
      </w:r>
    </w:p>
    <w:p>
      <w:pPr>
        <w:rPr>
          <w:rFonts w:hint="eastAsia"/>
          <w:sz w:val="28"/>
          <w:szCs w:val="36"/>
        </w:rPr>
      </w:pPr>
      <w:r>
        <w:rPr>
          <w:rFonts w:hint="eastAsia"/>
          <w:sz w:val="28"/>
          <w:szCs w:val="36"/>
        </w:rPr>
        <w:t>10、以接受投资的方式取得土地使用权的，土地成本如何确定？</w:t>
      </w:r>
    </w:p>
    <w:p>
      <w:pPr>
        <w:rPr>
          <w:rFonts w:hint="eastAsia"/>
          <w:sz w:val="28"/>
          <w:szCs w:val="36"/>
        </w:rPr>
      </w:pPr>
      <w:r>
        <w:rPr>
          <w:rFonts w:hint="eastAsia"/>
          <w:sz w:val="28"/>
          <w:szCs w:val="36"/>
        </w:rPr>
        <w:t>11、预提费用可以作为计税成本吗？</w:t>
      </w:r>
    </w:p>
    <w:p>
      <w:pPr>
        <w:rPr>
          <w:rFonts w:hint="eastAsia"/>
          <w:sz w:val="28"/>
          <w:szCs w:val="36"/>
        </w:rPr>
      </w:pPr>
      <w:r>
        <w:rPr>
          <w:rFonts w:hint="eastAsia"/>
          <w:sz w:val="28"/>
          <w:szCs w:val="36"/>
        </w:rPr>
        <w:t>12、企业建造的停车场所的成本如何处理？</w:t>
      </w:r>
    </w:p>
    <w:p>
      <w:pPr>
        <w:rPr>
          <w:rFonts w:hint="eastAsia"/>
          <w:sz w:val="28"/>
          <w:szCs w:val="36"/>
        </w:rPr>
      </w:pPr>
      <w:r>
        <w:rPr>
          <w:rFonts w:hint="eastAsia"/>
          <w:sz w:val="28"/>
          <w:szCs w:val="36"/>
        </w:rPr>
        <w:t>13、企业在结算计税成本时其实际发生的支出应当取得但未取得合法凭据的如何处理？</w:t>
      </w:r>
    </w:p>
    <w:p>
      <w:pPr>
        <w:rPr>
          <w:rFonts w:hint="eastAsia"/>
          <w:sz w:val="28"/>
          <w:szCs w:val="36"/>
        </w:rPr>
      </w:pPr>
      <w:r>
        <w:rPr>
          <w:rFonts w:hint="eastAsia"/>
          <w:sz w:val="28"/>
          <w:szCs w:val="36"/>
        </w:rPr>
        <w:t>14、未完工收入计算的毛利是否允许扣减期间费用？</w:t>
      </w:r>
    </w:p>
    <w:p>
      <w:pPr>
        <w:rPr>
          <w:rFonts w:hint="eastAsia"/>
          <w:sz w:val="28"/>
          <w:szCs w:val="36"/>
        </w:rPr>
      </w:pPr>
      <w:r>
        <w:rPr>
          <w:rFonts w:hint="eastAsia"/>
          <w:sz w:val="28"/>
          <w:szCs w:val="36"/>
        </w:rPr>
        <w:t>15、未完工收入是否允许扣减税金及附加？</w:t>
      </w:r>
    </w:p>
    <w:p>
      <w:pPr>
        <w:rPr>
          <w:rFonts w:hint="eastAsia"/>
          <w:sz w:val="28"/>
          <w:szCs w:val="36"/>
        </w:rPr>
      </w:pPr>
      <w:r>
        <w:rPr>
          <w:rFonts w:hint="eastAsia"/>
          <w:sz w:val="28"/>
          <w:szCs w:val="36"/>
        </w:rPr>
        <w:t>16、未完工收入是否允许作为三项费用的扣除基数？</w:t>
      </w:r>
    </w:p>
    <w:p>
      <w:pPr>
        <w:rPr>
          <w:rFonts w:hint="eastAsia"/>
          <w:sz w:val="28"/>
          <w:szCs w:val="36"/>
        </w:rPr>
      </w:pPr>
      <w:r>
        <w:rPr>
          <w:rFonts w:hint="eastAsia"/>
          <w:sz w:val="28"/>
          <w:szCs w:val="36"/>
        </w:rPr>
        <w:t>17、未完工收入季度申报表填列方法</w:t>
      </w:r>
    </w:p>
    <w:p>
      <w:pPr>
        <w:rPr>
          <w:rFonts w:hint="eastAsia"/>
          <w:sz w:val="28"/>
          <w:szCs w:val="36"/>
        </w:rPr>
      </w:pPr>
      <w:r>
        <w:rPr>
          <w:rFonts w:hint="eastAsia"/>
          <w:sz w:val="28"/>
          <w:szCs w:val="36"/>
        </w:rPr>
        <w:t>18、未完工收入年度37张申报表填列方法？预售年度如何汇算清缴？</w:t>
      </w:r>
    </w:p>
    <w:p>
      <w:pPr>
        <w:rPr>
          <w:rFonts w:hint="eastAsia"/>
          <w:b/>
          <w:bCs/>
          <w:sz w:val="28"/>
          <w:szCs w:val="36"/>
        </w:rPr>
      </w:pPr>
      <w:r>
        <w:rPr>
          <w:rFonts w:hint="eastAsia"/>
          <w:b/>
          <w:bCs/>
          <w:sz w:val="28"/>
          <w:szCs w:val="36"/>
        </w:rPr>
        <w:t>第七部分、 土地增值税预交、清算疑难问题解析</w:t>
      </w:r>
    </w:p>
    <w:p>
      <w:pPr>
        <w:rPr>
          <w:rFonts w:hint="eastAsia"/>
          <w:sz w:val="28"/>
          <w:szCs w:val="36"/>
        </w:rPr>
      </w:pPr>
      <w:r>
        <w:rPr>
          <w:rFonts w:hint="eastAsia"/>
          <w:sz w:val="28"/>
          <w:szCs w:val="36"/>
        </w:rPr>
        <w:t>1、哪些情况下需要预缴土地增值税？预征率如何确认？预征的 计税依据是什么？</w:t>
      </w:r>
    </w:p>
    <w:p>
      <w:pPr>
        <w:rPr>
          <w:rFonts w:hint="eastAsia"/>
          <w:sz w:val="28"/>
          <w:szCs w:val="36"/>
        </w:rPr>
      </w:pPr>
      <w:r>
        <w:rPr>
          <w:rFonts w:hint="eastAsia"/>
          <w:sz w:val="28"/>
          <w:szCs w:val="36"/>
        </w:rPr>
        <w:t>2、土增税清算的条件有哪些？</w:t>
      </w:r>
    </w:p>
    <w:p>
      <w:pPr>
        <w:rPr>
          <w:rFonts w:hint="eastAsia"/>
          <w:sz w:val="28"/>
          <w:szCs w:val="36"/>
        </w:rPr>
      </w:pPr>
      <w:r>
        <w:rPr>
          <w:rFonts w:hint="eastAsia"/>
          <w:sz w:val="28"/>
          <w:szCs w:val="36"/>
        </w:rPr>
        <w:t>3、土增税清算的收入有哪些？</w:t>
      </w:r>
    </w:p>
    <w:p>
      <w:pPr>
        <w:rPr>
          <w:rFonts w:hint="eastAsia"/>
          <w:sz w:val="28"/>
          <w:szCs w:val="36"/>
        </w:rPr>
      </w:pPr>
      <w:r>
        <w:rPr>
          <w:rFonts w:hint="eastAsia"/>
          <w:sz w:val="28"/>
          <w:szCs w:val="36"/>
        </w:rPr>
        <w:t>4、土地增值税清算的扣除项目有哪些？</w:t>
      </w:r>
    </w:p>
    <w:p>
      <w:pPr>
        <w:rPr>
          <w:rFonts w:hint="eastAsia"/>
          <w:sz w:val="28"/>
          <w:szCs w:val="36"/>
        </w:rPr>
      </w:pPr>
      <w:r>
        <w:rPr>
          <w:rFonts w:hint="eastAsia"/>
          <w:sz w:val="28"/>
          <w:szCs w:val="36"/>
        </w:rPr>
        <w:t>5、土地增值税清算时项目的装修费能否扣除？</w:t>
      </w:r>
    </w:p>
    <w:p>
      <w:pPr>
        <w:rPr>
          <w:rFonts w:hint="eastAsia"/>
          <w:sz w:val="28"/>
          <w:szCs w:val="36"/>
        </w:rPr>
      </w:pPr>
      <w:r>
        <w:rPr>
          <w:rFonts w:hint="eastAsia"/>
          <w:sz w:val="28"/>
          <w:szCs w:val="36"/>
        </w:rPr>
        <w:t>6、营改增新时代土地增值税清算时印花税如何扣除？</w:t>
      </w:r>
    </w:p>
    <w:p>
      <w:pPr>
        <w:rPr>
          <w:rFonts w:hint="eastAsia"/>
          <w:sz w:val="28"/>
          <w:szCs w:val="36"/>
        </w:rPr>
      </w:pPr>
      <w:r>
        <w:rPr>
          <w:rFonts w:hint="eastAsia"/>
          <w:sz w:val="28"/>
          <w:szCs w:val="36"/>
        </w:rPr>
        <w:t>7、营改增新时代土地增值税清算时土地成本如何扣除？</w:t>
      </w:r>
    </w:p>
    <w:p>
      <w:pPr>
        <w:rPr>
          <w:rFonts w:hint="eastAsia"/>
          <w:sz w:val="28"/>
          <w:szCs w:val="36"/>
        </w:rPr>
      </w:pPr>
      <w:r>
        <w:rPr>
          <w:rFonts w:hint="eastAsia"/>
          <w:sz w:val="28"/>
          <w:szCs w:val="36"/>
        </w:rPr>
        <w:t>8、土地增值税清算边氏九步法分为哪九步？</w:t>
      </w:r>
    </w:p>
    <w:p>
      <w:pPr>
        <w:rPr>
          <w:rFonts w:hint="eastAsia"/>
          <w:sz w:val="28"/>
          <w:szCs w:val="36"/>
        </w:rPr>
      </w:pPr>
      <w:r>
        <w:rPr>
          <w:rFonts w:hint="eastAsia"/>
          <w:sz w:val="28"/>
          <w:szCs w:val="36"/>
        </w:rPr>
        <w:t>9、土地增值税清算与所得税汇算清缴的七大区别？</w:t>
      </w:r>
    </w:p>
    <w:p>
      <w:pPr>
        <w:rPr>
          <w:rFonts w:hint="eastAsia"/>
          <w:sz w:val="28"/>
          <w:szCs w:val="36"/>
        </w:rPr>
      </w:pPr>
      <w:r>
        <w:rPr>
          <w:rFonts w:hint="eastAsia"/>
          <w:sz w:val="28"/>
          <w:szCs w:val="36"/>
        </w:rPr>
        <w:t>10、如何确定土地增值税的清算单位？</w:t>
      </w:r>
    </w:p>
    <w:p>
      <w:pPr>
        <w:rPr>
          <w:rFonts w:hint="eastAsia"/>
          <w:sz w:val="28"/>
          <w:szCs w:val="36"/>
        </w:rPr>
      </w:pPr>
      <w:r>
        <w:rPr>
          <w:rFonts w:hint="eastAsia"/>
          <w:sz w:val="28"/>
          <w:szCs w:val="36"/>
        </w:rPr>
        <w:t>11、哪些情况下房地产企业应当自行土地增值税清算？</w:t>
      </w:r>
    </w:p>
    <w:p>
      <w:pPr>
        <w:rPr>
          <w:rFonts w:hint="eastAsia"/>
          <w:sz w:val="28"/>
          <w:szCs w:val="36"/>
        </w:rPr>
      </w:pPr>
      <w:r>
        <w:rPr>
          <w:rFonts w:hint="eastAsia"/>
          <w:sz w:val="28"/>
          <w:szCs w:val="36"/>
        </w:rPr>
        <w:t>12、哪些情况下税务机关可以要求房地产企业进行土地增值税清算？</w:t>
      </w:r>
    </w:p>
    <w:p>
      <w:pPr>
        <w:rPr>
          <w:rFonts w:hint="eastAsia"/>
          <w:sz w:val="28"/>
          <w:szCs w:val="36"/>
        </w:rPr>
      </w:pPr>
      <w:r>
        <w:rPr>
          <w:rFonts w:hint="eastAsia"/>
          <w:sz w:val="28"/>
          <w:szCs w:val="36"/>
        </w:rPr>
        <w:t>13、房地产企业何时需要到税务机关办理土地增值税清算手续？</w:t>
      </w:r>
    </w:p>
    <w:p>
      <w:pPr>
        <w:rPr>
          <w:rFonts w:hint="eastAsia"/>
          <w:sz w:val="28"/>
          <w:szCs w:val="36"/>
        </w:rPr>
      </w:pPr>
      <w:r>
        <w:rPr>
          <w:rFonts w:hint="eastAsia"/>
          <w:sz w:val="28"/>
          <w:szCs w:val="36"/>
        </w:rPr>
        <w:t>14、对自用或出租的开发产品是否征收土地增值税？</w:t>
      </w:r>
    </w:p>
    <w:p>
      <w:pPr>
        <w:rPr>
          <w:rFonts w:hint="eastAsia"/>
          <w:sz w:val="28"/>
          <w:szCs w:val="36"/>
        </w:rPr>
      </w:pPr>
      <w:r>
        <w:rPr>
          <w:rFonts w:hint="eastAsia"/>
          <w:sz w:val="28"/>
          <w:szCs w:val="36"/>
        </w:rPr>
        <w:t>15、 土地增值税清算案例题详解</w:t>
      </w:r>
    </w:p>
    <w:p>
      <w:pPr>
        <w:rPr>
          <w:rFonts w:hint="eastAsia"/>
          <w:b/>
          <w:bCs/>
          <w:sz w:val="28"/>
          <w:szCs w:val="36"/>
        </w:rPr>
      </w:pPr>
      <w:r>
        <w:rPr>
          <w:rFonts w:hint="eastAsia"/>
          <w:b/>
          <w:bCs/>
          <w:sz w:val="28"/>
          <w:szCs w:val="36"/>
        </w:rPr>
        <w:t>第八部分  2018年5月1日后增值税率降低后发票的领用、管理、开具方面疑难问题</w:t>
      </w:r>
    </w:p>
    <w:p>
      <w:pPr>
        <w:rPr>
          <w:rFonts w:hint="eastAsia"/>
          <w:sz w:val="28"/>
          <w:szCs w:val="36"/>
        </w:rPr>
      </w:pPr>
      <w:r>
        <w:rPr>
          <w:rFonts w:hint="eastAsia"/>
          <w:sz w:val="28"/>
          <w:szCs w:val="36"/>
        </w:rPr>
        <w:t>1、自2018年5月1日起企业的增值税发票如何开具？还能否开具17%、11%的专用发票？</w:t>
      </w:r>
    </w:p>
    <w:p>
      <w:pPr>
        <w:rPr>
          <w:rFonts w:hint="eastAsia"/>
          <w:sz w:val="28"/>
          <w:szCs w:val="36"/>
        </w:rPr>
      </w:pPr>
      <w:r>
        <w:rPr>
          <w:rFonts w:hint="eastAsia"/>
          <w:sz w:val="28"/>
          <w:szCs w:val="36"/>
        </w:rPr>
        <w:t>2、企业租金收入、向承租方收取的电费水费等能否开具专用发票？</w:t>
      </w:r>
    </w:p>
    <w:p>
      <w:pPr>
        <w:rPr>
          <w:rFonts w:hint="eastAsia"/>
          <w:sz w:val="28"/>
          <w:szCs w:val="36"/>
        </w:rPr>
      </w:pPr>
      <w:r>
        <w:rPr>
          <w:rFonts w:hint="eastAsia"/>
          <w:sz w:val="28"/>
          <w:szCs w:val="36"/>
        </w:rPr>
        <w:t>3、取得发票备注栏的要求审核？纳税人识别码的要求？</w:t>
      </w:r>
    </w:p>
    <w:p>
      <w:pPr>
        <w:rPr>
          <w:rFonts w:hint="eastAsia"/>
          <w:sz w:val="28"/>
          <w:szCs w:val="36"/>
        </w:rPr>
      </w:pPr>
      <w:r>
        <w:rPr>
          <w:rFonts w:hint="eastAsia"/>
          <w:sz w:val="28"/>
          <w:szCs w:val="36"/>
        </w:rPr>
        <w:t>4、企业善意取得虚开增值税专用发票的税务处理？</w:t>
      </w:r>
    </w:p>
    <w:p>
      <w:pPr>
        <w:rPr>
          <w:rFonts w:hint="eastAsia"/>
          <w:sz w:val="28"/>
          <w:szCs w:val="36"/>
        </w:rPr>
      </w:pPr>
      <w:r>
        <w:rPr>
          <w:rFonts w:hint="eastAsia"/>
          <w:sz w:val="28"/>
          <w:szCs w:val="36"/>
        </w:rPr>
        <w:t>5、企业恶意取得虚开增值税专用发票的税务处理？</w:t>
      </w:r>
    </w:p>
    <w:p>
      <w:pPr>
        <w:rPr>
          <w:rFonts w:hint="eastAsia"/>
          <w:sz w:val="28"/>
          <w:szCs w:val="36"/>
        </w:rPr>
      </w:pPr>
      <w:r>
        <w:rPr>
          <w:rFonts w:hint="eastAsia"/>
          <w:sz w:val="28"/>
          <w:szCs w:val="36"/>
        </w:rPr>
        <w:t>6、企业取得失控增值税专用发票的税务处理？</w:t>
      </w:r>
    </w:p>
    <w:p>
      <w:pPr>
        <w:rPr>
          <w:rFonts w:hint="eastAsia"/>
          <w:sz w:val="28"/>
          <w:szCs w:val="36"/>
        </w:rPr>
      </w:pPr>
      <w:r>
        <w:rPr>
          <w:rFonts w:hint="eastAsia"/>
          <w:sz w:val="28"/>
          <w:szCs w:val="36"/>
        </w:rPr>
        <w:t xml:space="preserve">7、增值税专用发票认证期？超过认证期的票如何处理？    </w:t>
      </w:r>
    </w:p>
    <w:p>
      <w:pPr>
        <w:rPr>
          <w:rFonts w:hint="eastAsia"/>
          <w:sz w:val="28"/>
          <w:szCs w:val="36"/>
        </w:rPr>
      </w:pPr>
      <w:r>
        <w:rPr>
          <w:rFonts w:hint="eastAsia"/>
          <w:sz w:val="28"/>
          <w:szCs w:val="36"/>
        </w:rPr>
        <w:t>8、三流不一致、四流不统一就判断是虚开增值税专用发票吗？</w:t>
      </w:r>
    </w:p>
    <w:p>
      <w:pPr>
        <w:rPr>
          <w:rFonts w:hint="eastAsia"/>
          <w:sz w:val="28"/>
          <w:szCs w:val="36"/>
        </w:rPr>
      </w:pPr>
      <w:r>
        <w:rPr>
          <w:rFonts w:hint="eastAsia"/>
          <w:sz w:val="28"/>
          <w:szCs w:val="36"/>
        </w:rPr>
        <w:t>9、一般纳税人丢失已开具专用发票的税务处理</w:t>
      </w:r>
    </w:p>
    <w:p>
      <w:pPr>
        <w:rPr>
          <w:rFonts w:hint="eastAsia"/>
          <w:sz w:val="28"/>
          <w:szCs w:val="36"/>
        </w:rPr>
      </w:pPr>
      <w:r>
        <w:rPr>
          <w:rFonts w:hint="eastAsia"/>
          <w:sz w:val="28"/>
          <w:szCs w:val="36"/>
        </w:rPr>
        <w:t>10、2018年5月1日后增值税率降低后负数发票的开具</w:t>
      </w:r>
    </w:p>
    <w:p>
      <w:pPr>
        <w:rPr>
          <w:rFonts w:hint="eastAsia"/>
          <w:b/>
          <w:bCs/>
          <w:sz w:val="28"/>
          <w:szCs w:val="36"/>
        </w:rPr>
      </w:pPr>
      <w:r>
        <w:rPr>
          <w:rFonts w:hint="eastAsia"/>
          <w:b/>
          <w:bCs/>
          <w:sz w:val="28"/>
          <w:szCs w:val="36"/>
        </w:rPr>
        <w:t>第九部分  三旧改造涉税疑难问题解析</w:t>
      </w:r>
    </w:p>
    <w:p>
      <w:pPr>
        <w:rPr>
          <w:rFonts w:hint="eastAsia"/>
          <w:sz w:val="28"/>
          <w:szCs w:val="36"/>
        </w:rPr>
      </w:pPr>
      <w:r>
        <w:rPr>
          <w:rFonts w:hint="eastAsia"/>
          <w:sz w:val="28"/>
          <w:szCs w:val="36"/>
        </w:rPr>
        <w:t>1、三旧”改造过程（拆一还一）中涉及的增值税、土地增值税、契税、房产税、城镇土地使用税、企业所得税和个人所得税等主要税种相关税务处理事项？</w:t>
      </w:r>
    </w:p>
    <w:p>
      <w:pPr>
        <w:rPr>
          <w:rFonts w:hint="eastAsia"/>
          <w:sz w:val="28"/>
          <w:szCs w:val="36"/>
        </w:rPr>
      </w:pPr>
      <w:r>
        <w:rPr>
          <w:rFonts w:hint="eastAsia"/>
          <w:sz w:val="28"/>
          <w:szCs w:val="36"/>
        </w:rPr>
        <w:t>2、支付拆迁补偿费能否计算抵减销项税额？土地增值税如何扣除成本？</w:t>
      </w:r>
    </w:p>
    <w:p>
      <w:pPr>
        <w:rPr>
          <w:rFonts w:hint="eastAsia"/>
          <w:sz w:val="28"/>
          <w:szCs w:val="36"/>
        </w:rPr>
      </w:pPr>
      <w:r>
        <w:rPr>
          <w:rFonts w:hint="eastAsia"/>
          <w:sz w:val="28"/>
          <w:szCs w:val="36"/>
        </w:rPr>
        <w:t>3、招拍挂取得土地如何计算抵扣销项税额？土地增值税如何扣除成本？</w:t>
      </w:r>
    </w:p>
    <w:p>
      <w:pPr>
        <w:rPr>
          <w:rFonts w:hint="eastAsia"/>
          <w:sz w:val="28"/>
          <w:szCs w:val="36"/>
        </w:rPr>
      </w:pPr>
      <w:r>
        <w:rPr>
          <w:rFonts w:hint="eastAsia"/>
          <w:sz w:val="28"/>
          <w:szCs w:val="36"/>
        </w:rPr>
        <w:t>4、购买烂尾楼如何抵扣进项税额？</w:t>
      </w:r>
    </w:p>
    <w:p>
      <w:pPr>
        <w:rPr>
          <w:rFonts w:hint="eastAsia"/>
          <w:sz w:val="28"/>
          <w:szCs w:val="36"/>
        </w:rPr>
      </w:pPr>
      <w:r>
        <w:rPr>
          <w:rFonts w:hint="eastAsia"/>
          <w:sz w:val="28"/>
          <w:szCs w:val="36"/>
        </w:rPr>
        <w:t>5、购买烂尾楼土地增值税如何扣除成本？</w:t>
      </w:r>
    </w:p>
    <w:p>
      <w:pPr>
        <w:rPr>
          <w:rFonts w:hint="eastAsia"/>
          <w:b/>
          <w:bCs/>
          <w:sz w:val="28"/>
          <w:szCs w:val="36"/>
        </w:rPr>
      </w:pPr>
      <w:r>
        <w:rPr>
          <w:rFonts w:hint="eastAsia"/>
          <w:b/>
          <w:bCs/>
          <w:sz w:val="28"/>
          <w:szCs w:val="36"/>
        </w:rPr>
        <w:t>第十部分：其他税种疑难问题解析</w:t>
      </w:r>
    </w:p>
    <w:p>
      <w:pPr>
        <w:rPr>
          <w:rFonts w:hint="eastAsia"/>
          <w:sz w:val="28"/>
          <w:szCs w:val="36"/>
        </w:rPr>
      </w:pPr>
      <w:r>
        <w:rPr>
          <w:rFonts w:hint="eastAsia"/>
          <w:sz w:val="28"/>
          <w:szCs w:val="36"/>
        </w:rPr>
        <w:t>1、房地产企业的开发产品在什么情况下需要缴纳房产税？</w:t>
      </w:r>
    </w:p>
    <w:p>
      <w:pPr>
        <w:rPr>
          <w:rFonts w:hint="eastAsia"/>
          <w:sz w:val="28"/>
          <w:szCs w:val="36"/>
        </w:rPr>
      </w:pPr>
      <w:r>
        <w:rPr>
          <w:rFonts w:hint="eastAsia"/>
          <w:sz w:val="28"/>
          <w:szCs w:val="36"/>
        </w:rPr>
        <w:t>2、对按照房产原值计税的房产，房产原值是否包含地价（为取得土地使用权支付的价款、开发土地发生的成本费用等）？</w:t>
      </w:r>
    </w:p>
    <w:p>
      <w:pPr>
        <w:rPr>
          <w:rFonts w:hint="eastAsia"/>
          <w:sz w:val="28"/>
          <w:szCs w:val="36"/>
        </w:rPr>
      </w:pPr>
      <w:r>
        <w:rPr>
          <w:rFonts w:hint="eastAsia"/>
          <w:sz w:val="28"/>
          <w:szCs w:val="36"/>
        </w:rPr>
        <w:t>3、宗地容积率低于0.5的，如何确定计入房产原值的地价？</w:t>
      </w:r>
    </w:p>
    <w:p>
      <w:pPr>
        <w:rPr>
          <w:rFonts w:hint="eastAsia"/>
          <w:sz w:val="28"/>
          <w:szCs w:val="36"/>
        </w:rPr>
      </w:pPr>
      <w:r>
        <w:rPr>
          <w:rFonts w:hint="eastAsia"/>
          <w:sz w:val="28"/>
          <w:szCs w:val="36"/>
        </w:rPr>
        <w:t>4、对房地产开发公司建造商品房的用地是否征收土地使用税？</w:t>
      </w:r>
    </w:p>
    <w:p>
      <w:pPr>
        <w:rPr>
          <w:rFonts w:hint="eastAsia"/>
          <w:sz w:val="28"/>
          <w:szCs w:val="36"/>
        </w:rPr>
      </w:pPr>
      <w:r>
        <w:rPr>
          <w:rFonts w:hint="eastAsia"/>
          <w:sz w:val="28"/>
          <w:szCs w:val="36"/>
        </w:rPr>
        <w:t>5、以出让或转让方式有偿取得土地使用权的，何时开始缴纳土地使用税？</w:t>
      </w:r>
    </w:p>
    <w:p>
      <w:pPr>
        <w:rPr>
          <w:rFonts w:hint="eastAsia"/>
          <w:sz w:val="28"/>
          <w:szCs w:val="36"/>
        </w:rPr>
      </w:pPr>
      <w:r>
        <w:rPr>
          <w:rFonts w:hint="eastAsia"/>
          <w:sz w:val="28"/>
          <w:szCs w:val="36"/>
        </w:rPr>
        <w:t>6、已出售的开发产品何时停止缴纳土地使用税？</w:t>
      </w:r>
    </w:p>
    <w:p>
      <w:pPr>
        <w:rPr>
          <w:rFonts w:hint="eastAsia"/>
          <w:sz w:val="28"/>
          <w:szCs w:val="36"/>
        </w:rPr>
      </w:pPr>
      <w:r>
        <w:rPr>
          <w:rFonts w:hint="eastAsia"/>
          <w:sz w:val="28"/>
          <w:szCs w:val="36"/>
        </w:rPr>
        <w:t>7、以协议方式受让土地使用权的，其契税计税是否包括土地补偿费、安置补助费、地上附着物和青苗补偿费、拆迁补偿费、市政建设配套费？</w:t>
      </w:r>
    </w:p>
    <w:p>
      <w:pPr>
        <w:rPr>
          <w:rFonts w:hint="eastAsia"/>
          <w:sz w:val="28"/>
          <w:szCs w:val="36"/>
        </w:rPr>
      </w:pPr>
      <w:r>
        <w:rPr>
          <w:rFonts w:hint="eastAsia"/>
          <w:sz w:val="28"/>
          <w:szCs w:val="36"/>
        </w:rPr>
        <w:t>8、以竞价方式出让的，契税计税依据是否包括市政建设配套费以及各种补偿费用？</w:t>
      </w:r>
    </w:p>
    <w:p>
      <w:pPr>
        <w:rPr>
          <w:rFonts w:hint="eastAsia"/>
          <w:sz w:val="28"/>
          <w:szCs w:val="36"/>
        </w:rPr>
      </w:pPr>
      <w:r>
        <w:rPr>
          <w:rFonts w:hint="eastAsia"/>
          <w:sz w:val="28"/>
          <w:szCs w:val="36"/>
        </w:rPr>
        <w:t>9、因减免土地出让金而承受国有土地使用权的，是否亦减免契税？</w:t>
      </w:r>
    </w:p>
    <w:p>
      <w:pPr>
        <w:rPr>
          <w:rFonts w:hint="eastAsia"/>
          <w:sz w:val="28"/>
          <w:szCs w:val="36"/>
        </w:rPr>
      </w:pPr>
      <w:r>
        <w:rPr>
          <w:rFonts w:hint="eastAsia"/>
          <w:sz w:val="28"/>
          <w:szCs w:val="36"/>
        </w:rPr>
        <w:t>10、期房购买者退房时已经缴纳的契税是否可以退还？</w:t>
      </w:r>
    </w:p>
    <w:p>
      <w:pPr>
        <w:rPr>
          <w:rFonts w:hint="eastAsia"/>
          <w:sz w:val="28"/>
          <w:szCs w:val="36"/>
        </w:rPr>
      </w:pPr>
      <w:r>
        <w:rPr>
          <w:rFonts w:hint="eastAsia"/>
          <w:sz w:val="28"/>
          <w:szCs w:val="36"/>
        </w:rPr>
        <w:t>11、购买已装修的房屋，装修费用是否包括在契税计税价格内？</w:t>
      </w:r>
    </w:p>
    <w:p>
      <w:pPr>
        <w:rPr>
          <w:rFonts w:hint="eastAsia"/>
          <w:sz w:val="28"/>
          <w:szCs w:val="36"/>
        </w:rPr>
      </w:pPr>
      <w:r>
        <w:rPr>
          <w:rFonts w:hint="eastAsia"/>
          <w:sz w:val="28"/>
          <w:szCs w:val="36"/>
        </w:rPr>
        <w:t>12、企业合并时，合并后的企业承受原合并各方的土地、房屋权属，是否要缴纳契税？土增税？</w:t>
      </w:r>
    </w:p>
    <w:p>
      <w:pPr>
        <w:rPr>
          <w:rFonts w:hint="eastAsia"/>
          <w:sz w:val="28"/>
          <w:szCs w:val="36"/>
        </w:rPr>
      </w:pPr>
      <w:r>
        <w:rPr>
          <w:rFonts w:hint="eastAsia"/>
          <w:sz w:val="28"/>
          <w:szCs w:val="36"/>
        </w:rPr>
        <w:t>13、企业分立时，派生方、新设方承受原企业土地、房屋权属，是否缴纳契税？土增税？</w:t>
      </w:r>
    </w:p>
    <w:p>
      <w:pPr>
        <w:rPr>
          <w:rFonts w:hint="eastAsia"/>
          <w:sz w:val="28"/>
          <w:szCs w:val="36"/>
        </w:rPr>
      </w:pPr>
      <w:r>
        <w:rPr>
          <w:rFonts w:hint="eastAsia"/>
          <w:sz w:val="28"/>
          <w:szCs w:val="36"/>
        </w:rPr>
        <w:t>14、土地使用权出让合同、转让合同是否要缴纳印花税？</w:t>
      </w:r>
    </w:p>
    <w:p>
      <w:pPr>
        <w:rPr>
          <w:rFonts w:hint="eastAsia"/>
          <w:sz w:val="28"/>
          <w:szCs w:val="36"/>
        </w:rPr>
      </w:pPr>
      <w:r>
        <w:rPr>
          <w:rFonts w:hint="eastAsia"/>
          <w:sz w:val="28"/>
          <w:szCs w:val="36"/>
        </w:rPr>
        <w:t>15、商品房销售合同应按何种税目缴纳印花税？</w:t>
      </w:r>
    </w:p>
    <w:p>
      <w:pPr>
        <w:rPr>
          <w:rFonts w:hint="eastAsia"/>
          <w:sz w:val="28"/>
          <w:szCs w:val="36"/>
        </w:rPr>
      </w:pPr>
      <w:r>
        <w:rPr>
          <w:rFonts w:hint="eastAsia"/>
          <w:sz w:val="28"/>
          <w:szCs w:val="36"/>
        </w:rPr>
        <w:t>16、房地产企业与贷款公司的借款合同是否缴纳印花税？</w:t>
      </w:r>
    </w:p>
    <w:p>
      <w:pPr>
        <w:rPr>
          <w:rFonts w:hint="eastAsia"/>
          <w:b/>
          <w:bCs/>
          <w:color w:val="FF0000"/>
          <w:sz w:val="28"/>
          <w:szCs w:val="36"/>
        </w:rPr>
      </w:pPr>
    </w:p>
    <w:p>
      <w:pPr>
        <w:rPr>
          <w:rFonts w:hint="eastAsia"/>
          <w:b/>
          <w:bCs/>
          <w:color w:val="FF0000"/>
          <w:sz w:val="28"/>
          <w:szCs w:val="36"/>
        </w:rPr>
      </w:pPr>
    </w:p>
    <w:p>
      <w:pPr>
        <w:rPr>
          <w:rFonts w:hint="eastAsia"/>
          <w:b/>
          <w:bCs/>
          <w:color w:val="FF0000"/>
          <w:sz w:val="28"/>
          <w:szCs w:val="36"/>
        </w:rPr>
      </w:pPr>
    </w:p>
    <w:p>
      <w:pPr>
        <w:rPr>
          <w:rFonts w:hint="eastAsia"/>
          <w:b/>
          <w:bCs/>
          <w:color w:val="FF0000"/>
          <w:sz w:val="28"/>
          <w:szCs w:val="36"/>
        </w:rPr>
      </w:pPr>
      <w:r>
        <w:rPr>
          <w:rFonts w:hint="eastAsia"/>
          <w:b/>
          <w:bCs/>
          <w:color w:val="FF0000"/>
          <w:sz w:val="28"/>
          <w:szCs w:val="36"/>
        </w:rPr>
        <w:t>六、【授课专家介绍】</w:t>
      </w:r>
    </w:p>
    <w:p>
      <w:pPr>
        <w:rPr>
          <w:rFonts w:hint="eastAsia"/>
          <w:sz w:val="28"/>
          <w:szCs w:val="36"/>
        </w:rPr>
      </w:pPr>
      <w:r>
        <w:rPr>
          <w:rFonts w:hint="eastAsia"/>
          <w:sz w:val="28"/>
          <w:szCs w:val="36"/>
        </w:rPr>
        <w:t>边</w:t>
      </w:r>
      <w:r>
        <w:rPr>
          <w:rFonts w:hint="eastAsia"/>
          <w:sz w:val="28"/>
          <w:szCs w:val="36"/>
          <w:lang w:eastAsia="zh-CN"/>
        </w:rPr>
        <w:t>老师</w:t>
      </w:r>
      <w:r>
        <w:rPr>
          <w:rFonts w:hint="eastAsia"/>
          <w:sz w:val="28"/>
          <w:szCs w:val="36"/>
        </w:rPr>
        <w:t>：中国注册税务师，中国会计师，中国著名“财税三栖”实战专家，从事财税研究及实际工作20多年，曾担任某财税学校校长，某税务局征收分局副局长，某税务稽查局副局长，现任国家税务总局北戴河培训中心教授，清华大学财税总监高级研修班特聘教授，北京中财讯纳税筹划技术研究院教授，北京财税研究院特约研究员，北京中关村高新企业协会财税顾问，担任多家大中型企业财务、税务顾问。多次为国家税务总局举办的各省税务征管处长培训班、税务稽查骨干培训班授课，常年巡回为全国各地税务干部、财务人员授课累计达数千场，针对我国财税人员目前的业务素质情况，在全国首创独特的教学方法----新税法在会计核算中应用模拟训练营，曾多次举办《营改增后房地产企业开发经营各环节会计核算与纳税处理》特训班。</w:t>
      </w:r>
    </w:p>
    <w:p>
      <w:pPr>
        <w:rPr>
          <w:rFonts w:hint="eastAsia"/>
          <w:sz w:val="40"/>
          <w:szCs w:val="40"/>
          <w:lang w:val="en-US" w:eastAsia="zh-CN"/>
        </w:rPr>
      </w:pPr>
      <w:r>
        <w:rPr>
          <w:rFonts w:hint="eastAsia"/>
          <w:sz w:val="28"/>
          <w:szCs w:val="36"/>
        </w:rPr>
        <w:t>边老师还应邀为：风帆股份、乐凯股份、天威英利集团、河北建设集团千秋管业公司、北京白象集团、北京中一建设集团、中国石油、山东东营化工公司、山西省万家寨引黄工程总公司、中国海军总装备部等近百家大中型企业做内训。主编参编教材十余部，主讲课程：新所得税汇算清缴与纳税调整，新税法在会计核算中的应用，纳税评估和税务稽查的风险防范、税企之间常见涉税争议处理技巧等等。具有深厚的财税理论功底，创新能力强、实战经验足，极具互动性的演讲风格，深受全国税务干部、企业财务人员欢迎和赞誉，被誉为“财税培训的演讲专家”、“纳税核算的实战专家”、“财税理论与实际操作完美结合的训练导师”、“财务策划和纳税筹划的九段高手”。</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firstLine="2800" w:firstLineChars="700"/>
        <w:jc w:val="both"/>
        <w:textAlignment w:val="auto"/>
        <w:outlineLvl w:val="9"/>
        <w:rPr>
          <w:rFonts w:hint="eastAsia"/>
          <w:b/>
          <w:bCs/>
          <w:color w:val="FF0000"/>
          <w:sz w:val="40"/>
          <w:szCs w:val="40"/>
          <w:lang w:val="en-US" w:eastAsia="zh-CN"/>
        </w:rPr>
      </w:pPr>
      <w:r>
        <w:rPr>
          <w:rFonts w:hint="eastAsia"/>
          <w:sz w:val="40"/>
          <w:szCs w:val="40"/>
          <w:lang w:val="en-US" w:eastAsia="zh-CN"/>
        </w:rPr>
        <w:t xml:space="preserve"> </w:t>
      </w:r>
      <w:r>
        <w:rPr>
          <w:rFonts w:hint="eastAsia"/>
          <w:b/>
          <w:bCs/>
          <w:color w:val="FF0000"/>
          <w:sz w:val="40"/>
          <w:szCs w:val="40"/>
          <w:lang w:val="en-US" w:eastAsia="zh-CN"/>
        </w:rPr>
        <w:t>报名回执表</w:t>
      </w:r>
      <w:bookmarkStart w:id="0" w:name="_GoBack"/>
      <w:bookmarkEnd w:id="0"/>
    </w:p>
    <w:tbl>
      <w:tblPr>
        <w:tblStyle w:val="2"/>
        <w:tblpPr w:leftFromText="180" w:rightFromText="180" w:vertAnchor="text" w:horzAnchor="page" w:tblpX="1157" w:tblpY="563"/>
        <w:tblOverlap w:val="never"/>
        <w:tblW w:w="9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675"/>
        <w:gridCol w:w="326"/>
        <w:gridCol w:w="650"/>
        <w:gridCol w:w="128"/>
        <w:gridCol w:w="1057"/>
        <w:gridCol w:w="435"/>
        <w:gridCol w:w="660"/>
        <w:gridCol w:w="75"/>
        <w:gridCol w:w="1215"/>
        <w:gridCol w:w="1125"/>
        <w:gridCol w:w="180"/>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826" w:type="dxa"/>
            <w:gridSpan w:val="3"/>
            <w:tcBorders>
              <w:top w:val="thinThickSmallGap" w:color="auto" w:sz="24" w:space="0"/>
              <w:left w:val="thinThickSmallGap" w:color="auto" w:sz="24" w:space="0"/>
            </w:tcBorders>
            <w:noWrap w:val="0"/>
            <w:vAlign w:val="center"/>
          </w:tcPr>
          <w:p>
            <w:pPr>
              <w:jc w:val="center"/>
              <w:rPr>
                <w:rFonts w:ascii="宋体" w:hAnsi="宋体"/>
                <w:szCs w:val="21"/>
              </w:rPr>
            </w:pPr>
            <w:r>
              <w:rPr>
                <w:rFonts w:hint="eastAsia" w:ascii="宋体" w:hAnsi="宋体"/>
                <w:szCs w:val="21"/>
              </w:rPr>
              <w:t>企业名称</w:t>
            </w:r>
          </w:p>
        </w:tc>
        <w:tc>
          <w:tcPr>
            <w:tcW w:w="7939" w:type="dxa"/>
            <w:gridSpan w:val="10"/>
            <w:tcBorders>
              <w:top w:val="thinThickSmallGap" w:color="auto" w:sz="24" w:space="0"/>
              <w:right w:val="thickThinSmallGap" w:color="auto" w:sz="24" w:space="0"/>
            </w:tcBorders>
            <w:noWrap w:val="0"/>
            <w:vAlign w:val="center"/>
          </w:tcPr>
          <w:p>
            <w:pPr>
              <w:ind w:left="3882"/>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9765" w:type="dxa"/>
            <w:gridSpan w:val="13"/>
            <w:tcBorders>
              <w:left w:val="thinThickSmallGap" w:color="auto" w:sz="24" w:space="0"/>
              <w:right w:val="thickThinSmallGap" w:color="auto" w:sz="24" w:space="0"/>
            </w:tcBorders>
            <w:noWrap w:val="0"/>
            <w:vAlign w:val="center"/>
          </w:tcPr>
          <w:p>
            <w:pPr>
              <w:jc w:val="center"/>
              <w:rPr>
                <w:rFonts w:ascii="宋体" w:hAnsi="宋体"/>
                <w:szCs w:val="21"/>
              </w:rPr>
            </w:pPr>
            <w:r>
              <w:rPr>
                <w:rFonts w:hint="eastAsia" w:ascii="宋体" w:hAnsi="宋体"/>
                <w:b/>
                <w:bCs/>
                <w:szCs w:val="21"/>
              </w:rPr>
              <w:t>联系人信息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825" w:type="dxa"/>
            <w:tcBorders>
              <w:left w:val="thinThickSmallGap" w:color="auto" w:sz="24" w:space="0"/>
            </w:tcBorders>
            <w:noWrap w:val="0"/>
            <w:vAlign w:val="center"/>
          </w:tcPr>
          <w:p>
            <w:pPr>
              <w:jc w:val="left"/>
              <w:rPr>
                <w:rFonts w:ascii="宋体" w:hAnsi="宋体"/>
                <w:szCs w:val="21"/>
              </w:rPr>
            </w:pPr>
            <w:r>
              <w:rPr>
                <w:rFonts w:hint="eastAsia" w:ascii="宋体" w:hAnsi="宋体"/>
                <w:szCs w:val="21"/>
              </w:rPr>
              <w:t>姓名</w:t>
            </w:r>
          </w:p>
        </w:tc>
        <w:tc>
          <w:tcPr>
            <w:tcW w:w="1001" w:type="dxa"/>
            <w:gridSpan w:val="2"/>
            <w:noWrap w:val="0"/>
            <w:vAlign w:val="center"/>
          </w:tcPr>
          <w:p>
            <w:pPr>
              <w:jc w:val="center"/>
              <w:rPr>
                <w:rFonts w:ascii="宋体" w:hAnsi="宋体"/>
                <w:szCs w:val="21"/>
              </w:rPr>
            </w:pPr>
          </w:p>
        </w:tc>
        <w:tc>
          <w:tcPr>
            <w:tcW w:w="778" w:type="dxa"/>
            <w:gridSpan w:val="2"/>
            <w:noWrap w:val="0"/>
            <w:vAlign w:val="center"/>
          </w:tcPr>
          <w:p>
            <w:pPr>
              <w:jc w:val="center"/>
              <w:rPr>
                <w:rFonts w:ascii="宋体" w:hAnsi="宋体"/>
                <w:szCs w:val="21"/>
              </w:rPr>
            </w:pPr>
            <w:r>
              <w:rPr>
                <w:rFonts w:hint="eastAsia" w:ascii="宋体" w:hAnsi="宋体"/>
                <w:szCs w:val="21"/>
              </w:rPr>
              <w:t>手机</w:t>
            </w:r>
          </w:p>
        </w:tc>
        <w:tc>
          <w:tcPr>
            <w:tcW w:w="1492" w:type="dxa"/>
            <w:gridSpan w:val="2"/>
            <w:noWrap w:val="0"/>
            <w:vAlign w:val="center"/>
          </w:tcPr>
          <w:p>
            <w:pPr>
              <w:jc w:val="center"/>
              <w:rPr>
                <w:rFonts w:ascii="宋体" w:hAnsi="宋体"/>
                <w:szCs w:val="21"/>
              </w:rPr>
            </w:pPr>
          </w:p>
        </w:tc>
        <w:tc>
          <w:tcPr>
            <w:tcW w:w="660" w:type="dxa"/>
            <w:noWrap w:val="0"/>
            <w:vAlign w:val="center"/>
          </w:tcPr>
          <w:p>
            <w:pPr>
              <w:rPr>
                <w:rFonts w:ascii="宋体" w:hAnsi="宋体"/>
                <w:szCs w:val="21"/>
              </w:rPr>
            </w:pPr>
            <w:r>
              <w:rPr>
                <w:rFonts w:hint="eastAsia" w:ascii="宋体" w:hAnsi="宋体"/>
                <w:szCs w:val="21"/>
              </w:rPr>
              <w:t>电话</w:t>
            </w:r>
          </w:p>
        </w:tc>
        <w:tc>
          <w:tcPr>
            <w:tcW w:w="1290" w:type="dxa"/>
            <w:gridSpan w:val="2"/>
            <w:noWrap w:val="0"/>
            <w:vAlign w:val="center"/>
          </w:tcPr>
          <w:p>
            <w:pPr>
              <w:jc w:val="center"/>
              <w:rPr>
                <w:rFonts w:ascii="宋体" w:hAnsi="宋体"/>
                <w:szCs w:val="21"/>
              </w:rPr>
            </w:pPr>
          </w:p>
        </w:tc>
        <w:tc>
          <w:tcPr>
            <w:tcW w:w="1125" w:type="dxa"/>
            <w:noWrap w:val="0"/>
            <w:vAlign w:val="center"/>
          </w:tcPr>
          <w:p>
            <w:pPr>
              <w:jc w:val="center"/>
              <w:rPr>
                <w:rFonts w:hint="eastAsia" w:ascii="宋体" w:hAnsi="宋体"/>
                <w:szCs w:val="21"/>
              </w:rPr>
            </w:pPr>
            <w:r>
              <w:rPr>
                <w:rFonts w:hint="eastAsia" w:ascii="宋体" w:hAnsi="宋体"/>
                <w:szCs w:val="21"/>
              </w:rPr>
              <w:t>邮箱</w:t>
            </w:r>
          </w:p>
        </w:tc>
        <w:tc>
          <w:tcPr>
            <w:tcW w:w="2594" w:type="dxa"/>
            <w:gridSpan w:val="2"/>
            <w:tcBorders>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25" w:type="dxa"/>
            <w:tcBorders>
              <w:left w:val="thinThickSmallGap" w:color="auto" w:sz="24" w:space="0"/>
              <w:bottom w:val="single" w:color="auto" w:sz="4" w:space="0"/>
            </w:tcBorders>
            <w:noWrap w:val="0"/>
            <w:vAlign w:val="center"/>
          </w:tcPr>
          <w:p>
            <w:pPr>
              <w:jc w:val="left"/>
              <w:rPr>
                <w:rFonts w:ascii="宋体" w:hAnsi="宋体"/>
                <w:szCs w:val="21"/>
              </w:rPr>
            </w:pPr>
            <w:r>
              <w:rPr>
                <w:rFonts w:hint="eastAsia" w:ascii="宋体" w:hAnsi="宋体"/>
                <w:szCs w:val="21"/>
              </w:rPr>
              <w:t>职位</w:t>
            </w:r>
          </w:p>
        </w:tc>
        <w:tc>
          <w:tcPr>
            <w:tcW w:w="1001" w:type="dxa"/>
            <w:gridSpan w:val="2"/>
            <w:tcBorders>
              <w:right w:val="single" w:color="auto" w:sz="4" w:space="0"/>
            </w:tcBorders>
            <w:noWrap w:val="0"/>
            <w:vAlign w:val="center"/>
          </w:tcPr>
          <w:p>
            <w:pPr>
              <w:jc w:val="center"/>
              <w:rPr>
                <w:rFonts w:ascii="宋体" w:hAnsi="宋体"/>
                <w:szCs w:val="21"/>
              </w:rPr>
            </w:pPr>
          </w:p>
        </w:tc>
        <w:tc>
          <w:tcPr>
            <w:tcW w:w="778" w:type="dxa"/>
            <w:gridSpan w:val="2"/>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微信</w:t>
            </w:r>
          </w:p>
        </w:tc>
        <w:tc>
          <w:tcPr>
            <w:tcW w:w="1492" w:type="dxa"/>
            <w:gridSpan w:val="2"/>
            <w:tcBorders>
              <w:left w:val="single" w:color="auto" w:sz="4" w:space="0"/>
            </w:tcBorders>
            <w:noWrap w:val="0"/>
            <w:vAlign w:val="center"/>
          </w:tcPr>
          <w:p>
            <w:pPr>
              <w:jc w:val="center"/>
              <w:rPr>
                <w:rFonts w:ascii="宋体" w:hAnsi="宋体"/>
                <w:szCs w:val="21"/>
              </w:rPr>
            </w:pPr>
          </w:p>
        </w:tc>
        <w:tc>
          <w:tcPr>
            <w:tcW w:w="660" w:type="dxa"/>
            <w:tcBorders>
              <w:right w:val="single" w:color="auto" w:sz="4" w:space="0"/>
            </w:tcBorders>
            <w:noWrap w:val="0"/>
            <w:vAlign w:val="center"/>
          </w:tcPr>
          <w:p>
            <w:pPr>
              <w:rPr>
                <w:rFonts w:ascii="宋体" w:hAnsi="宋体"/>
                <w:szCs w:val="21"/>
              </w:rPr>
            </w:pPr>
            <w:r>
              <w:rPr>
                <w:rFonts w:hint="eastAsia" w:ascii="宋体" w:hAnsi="宋体"/>
                <w:szCs w:val="21"/>
              </w:rPr>
              <w:t>传真</w:t>
            </w:r>
          </w:p>
        </w:tc>
        <w:tc>
          <w:tcPr>
            <w:tcW w:w="1290" w:type="dxa"/>
            <w:gridSpan w:val="2"/>
            <w:tcBorders>
              <w:left w:val="single" w:color="auto" w:sz="4" w:space="0"/>
              <w:right w:val="single" w:color="auto" w:sz="4" w:space="0"/>
            </w:tcBorders>
            <w:noWrap w:val="0"/>
            <w:vAlign w:val="center"/>
          </w:tcPr>
          <w:p>
            <w:pPr>
              <w:ind w:firstLine="210" w:firstLineChars="100"/>
              <w:rPr>
                <w:rFonts w:hint="eastAsia" w:ascii="宋体" w:hAnsi="宋体"/>
                <w:szCs w:val="21"/>
              </w:rPr>
            </w:pPr>
          </w:p>
        </w:tc>
        <w:tc>
          <w:tcPr>
            <w:tcW w:w="1125" w:type="dxa"/>
            <w:tcBorders>
              <w:left w:val="single" w:color="auto" w:sz="4" w:space="0"/>
              <w:right w:val="single" w:color="auto" w:sz="4" w:space="0"/>
            </w:tcBorders>
            <w:noWrap w:val="0"/>
            <w:vAlign w:val="center"/>
          </w:tcPr>
          <w:p>
            <w:pPr>
              <w:jc w:val="left"/>
              <w:rPr>
                <w:rFonts w:hint="eastAsia" w:ascii="宋体" w:hAnsi="宋体"/>
                <w:szCs w:val="21"/>
              </w:rPr>
            </w:pPr>
            <w:r>
              <w:rPr>
                <w:rFonts w:hint="eastAsia" w:ascii="宋体" w:hAnsi="宋体"/>
                <w:szCs w:val="21"/>
              </w:rPr>
              <w:t>身份证号</w:t>
            </w:r>
          </w:p>
        </w:tc>
        <w:tc>
          <w:tcPr>
            <w:tcW w:w="2594" w:type="dxa"/>
            <w:gridSpan w:val="2"/>
            <w:tcBorders>
              <w:left w:val="single" w:color="auto" w:sz="4" w:space="0"/>
              <w:right w:val="thickThinSmallGap" w:color="auto" w:sz="24" w:space="0"/>
            </w:tcBorders>
            <w:noWrap w:val="0"/>
            <w:vAlign w:val="center"/>
          </w:tcPr>
          <w:p>
            <w:pPr>
              <w:ind w:firstLine="210" w:firstLineChars="10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9765" w:type="dxa"/>
            <w:gridSpan w:val="13"/>
            <w:tcBorders>
              <w:top w:val="single" w:color="auto" w:sz="4" w:space="0"/>
              <w:left w:val="thinThickSmallGap" w:color="auto" w:sz="24" w:space="0"/>
              <w:right w:val="thickThinSmallGap" w:color="auto" w:sz="24" w:space="0"/>
            </w:tcBorders>
            <w:noWrap w:val="0"/>
            <w:vAlign w:val="center"/>
          </w:tcPr>
          <w:p>
            <w:pPr>
              <w:jc w:val="center"/>
              <w:rPr>
                <w:rFonts w:hint="eastAsia" w:ascii="宋体" w:hAnsi="宋体"/>
                <w:szCs w:val="21"/>
              </w:rPr>
            </w:pPr>
            <w:r>
              <w:rPr>
                <w:rFonts w:hint="eastAsia" w:ascii="宋体" w:hAnsi="宋体"/>
                <w:b/>
                <w:bCs/>
                <w:szCs w:val="21"/>
              </w:rPr>
              <w:t>参会学员名单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25" w:type="dxa"/>
            <w:tcBorders>
              <w:top w:val="single" w:color="auto" w:sz="4" w:space="0"/>
              <w:left w:val="thinThickSmallGap" w:color="auto" w:sz="24" w:space="0"/>
            </w:tcBorders>
            <w:noWrap w:val="0"/>
            <w:vAlign w:val="center"/>
          </w:tcPr>
          <w:p>
            <w:pPr>
              <w:jc w:val="center"/>
              <w:rPr>
                <w:rFonts w:ascii="宋体" w:hAnsi="宋体"/>
                <w:szCs w:val="21"/>
              </w:rPr>
            </w:pPr>
            <w:r>
              <w:rPr>
                <w:rFonts w:hint="eastAsia" w:ascii="宋体" w:hAnsi="宋体"/>
                <w:szCs w:val="21"/>
              </w:rPr>
              <w:t>姓名</w:t>
            </w:r>
          </w:p>
        </w:tc>
        <w:tc>
          <w:tcPr>
            <w:tcW w:w="675" w:type="dxa"/>
            <w:noWrap w:val="0"/>
            <w:vAlign w:val="center"/>
          </w:tcPr>
          <w:p>
            <w:pPr>
              <w:jc w:val="center"/>
              <w:rPr>
                <w:rFonts w:ascii="宋体" w:hAnsi="宋体"/>
                <w:szCs w:val="21"/>
              </w:rPr>
            </w:pPr>
            <w:r>
              <w:rPr>
                <w:rFonts w:hint="eastAsia" w:ascii="宋体" w:hAnsi="宋体"/>
                <w:szCs w:val="21"/>
              </w:rPr>
              <w:t>性别</w:t>
            </w:r>
          </w:p>
        </w:tc>
        <w:tc>
          <w:tcPr>
            <w:tcW w:w="976" w:type="dxa"/>
            <w:gridSpan w:val="2"/>
            <w:noWrap w:val="0"/>
            <w:vAlign w:val="center"/>
          </w:tcPr>
          <w:p>
            <w:pPr>
              <w:jc w:val="center"/>
              <w:rPr>
                <w:rFonts w:ascii="宋体" w:hAnsi="宋体"/>
                <w:szCs w:val="21"/>
              </w:rPr>
            </w:pPr>
            <w:r>
              <w:rPr>
                <w:rFonts w:hint="eastAsia" w:ascii="宋体" w:hAnsi="宋体"/>
                <w:szCs w:val="21"/>
              </w:rPr>
              <w:t>职务</w:t>
            </w:r>
          </w:p>
        </w:tc>
        <w:tc>
          <w:tcPr>
            <w:tcW w:w="1185" w:type="dxa"/>
            <w:gridSpan w:val="2"/>
            <w:noWrap w:val="0"/>
            <w:vAlign w:val="center"/>
          </w:tcPr>
          <w:p>
            <w:pPr>
              <w:jc w:val="center"/>
              <w:rPr>
                <w:rFonts w:ascii="宋体" w:hAnsi="宋体"/>
                <w:szCs w:val="21"/>
              </w:rPr>
            </w:pPr>
            <w:r>
              <w:rPr>
                <w:rFonts w:hint="eastAsia" w:ascii="宋体" w:hAnsi="宋体"/>
                <w:szCs w:val="21"/>
              </w:rPr>
              <w:t>电话</w:t>
            </w:r>
          </w:p>
        </w:tc>
        <w:tc>
          <w:tcPr>
            <w:tcW w:w="1170" w:type="dxa"/>
            <w:gridSpan w:val="3"/>
            <w:noWrap w:val="0"/>
            <w:vAlign w:val="center"/>
          </w:tcPr>
          <w:p>
            <w:pPr>
              <w:jc w:val="center"/>
              <w:rPr>
                <w:rFonts w:ascii="宋体" w:hAnsi="宋体"/>
                <w:szCs w:val="21"/>
              </w:rPr>
            </w:pPr>
            <w:r>
              <w:rPr>
                <w:rFonts w:hint="eastAsia" w:ascii="宋体" w:hAnsi="宋体"/>
                <w:szCs w:val="21"/>
              </w:rPr>
              <w:t>手机</w:t>
            </w:r>
          </w:p>
        </w:tc>
        <w:tc>
          <w:tcPr>
            <w:tcW w:w="1215" w:type="dxa"/>
            <w:tcBorders>
              <w:right w:val="single" w:color="auto" w:sz="4" w:space="0"/>
            </w:tcBorders>
            <w:noWrap w:val="0"/>
            <w:vAlign w:val="center"/>
          </w:tcPr>
          <w:p>
            <w:pPr>
              <w:jc w:val="center"/>
              <w:rPr>
                <w:rFonts w:ascii="宋体" w:hAnsi="宋体"/>
                <w:szCs w:val="21"/>
              </w:rPr>
            </w:pPr>
            <w:r>
              <w:rPr>
                <w:rFonts w:hint="eastAsia" w:ascii="宋体" w:hAnsi="宋体"/>
                <w:szCs w:val="21"/>
              </w:rPr>
              <w:t>微信</w:t>
            </w:r>
          </w:p>
        </w:tc>
        <w:tc>
          <w:tcPr>
            <w:tcW w:w="1305" w:type="dxa"/>
            <w:gridSpan w:val="2"/>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邮箱</w:t>
            </w:r>
          </w:p>
        </w:tc>
        <w:tc>
          <w:tcPr>
            <w:tcW w:w="2414" w:type="dxa"/>
            <w:tcBorders>
              <w:left w:val="single" w:color="auto" w:sz="4" w:space="0"/>
              <w:right w:val="thickThinSmallGap" w:color="auto" w:sz="24" w:space="0"/>
            </w:tcBorders>
            <w:noWrap w:val="0"/>
            <w:vAlign w:val="center"/>
          </w:tcPr>
          <w:p>
            <w:pPr>
              <w:jc w:val="center"/>
              <w:rPr>
                <w:rFonts w:hint="eastAsia" w:ascii="宋体" w:hAnsi="宋体"/>
                <w:szCs w:val="21"/>
              </w:rPr>
            </w:pPr>
            <w:r>
              <w:rPr>
                <w:rFonts w:hint="eastAsia" w:ascii="宋体" w:hAnsi="宋体"/>
                <w:szCs w:val="21"/>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825" w:type="dxa"/>
            <w:tcBorders>
              <w:left w:val="thinThickSmallGap" w:color="auto" w:sz="24" w:space="0"/>
            </w:tcBorders>
            <w:noWrap w:val="0"/>
            <w:vAlign w:val="center"/>
          </w:tcPr>
          <w:p>
            <w:pPr>
              <w:jc w:val="center"/>
              <w:rPr>
                <w:rFonts w:ascii="宋体" w:hAnsi="宋体"/>
                <w:szCs w:val="21"/>
              </w:rPr>
            </w:pPr>
          </w:p>
        </w:tc>
        <w:tc>
          <w:tcPr>
            <w:tcW w:w="675" w:type="dxa"/>
            <w:noWrap w:val="0"/>
            <w:vAlign w:val="center"/>
          </w:tcPr>
          <w:p>
            <w:pPr>
              <w:jc w:val="center"/>
              <w:rPr>
                <w:rFonts w:ascii="宋体" w:hAnsi="宋体"/>
                <w:szCs w:val="21"/>
              </w:rPr>
            </w:pPr>
          </w:p>
        </w:tc>
        <w:tc>
          <w:tcPr>
            <w:tcW w:w="976" w:type="dxa"/>
            <w:gridSpan w:val="2"/>
            <w:noWrap w:val="0"/>
            <w:vAlign w:val="center"/>
          </w:tcPr>
          <w:p>
            <w:pPr>
              <w:widowControl/>
              <w:jc w:val="center"/>
              <w:rPr>
                <w:rFonts w:ascii="宋体" w:hAnsi="宋体"/>
                <w:szCs w:val="21"/>
              </w:rPr>
            </w:pPr>
          </w:p>
        </w:tc>
        <w:tc>
          <w:tcPr>
            <w:tcW w:w="1185" w:type="dxa"/>
            <w:gridSpan w:val="2"/>
            <w:noWrap w:val="0"/>
            <w:vAlign w:val="center"/>
          </w:tcPr>
          <w:p>
            <w:pPr>
              <w:widowControl/>
              <w:jc w:val="center"/>
              <w:rPr>
                <w:rFonts w:ascii="宋体" w:hAnsi="宋体"/>
                <w:szCs w:val="21"/>
              </w:rPr>
            </w:pPr>
          </w:p>
        </w:tc>
        <w:tc>
          <w:tcPr>
            <w:tcW w:w="1170" w:type="dxa"/>
            <w:gridSpan w:val="3"/>
            <w:noWrap w:val="0"/>
            <w:vAlign w:val="center"/>
          </w:tcPr>
          <w:p>
            <w:pPr>
              <w:widowControl/>
              <w:jc w:val="center"/>
              <w:rPr>
                <w:rFonts w:ascii="宋体" w:hAnsi="宋体"/>
                <w:szCs w:val="21"/>
              </w:rPr>
            </w:pPr>
          </w:p>
        </w:tc>
        <w:tc>
          <w:tcPr>
            <w:tcW w:w="1215" w:type="dxa"/>
            <w:tcBorders>
              <w:right w:val="single" w:color="auto" w:sz="4" w:space="0"/>
            </w:tcBorders>
            <w:noWrap w:val="0"/>
            <w:vAlign w:val="center"/>
          </w:tcPr>
          <w:p>
            <w:pPr>
              <w:jc w:val="center"/>
              <w:rPr>
                <w:rFonts w:ascii="宋体" w:hAnsi="宋体"/>
                <w:szCs w:val="21"/>
              </w:rPr>
            </w:pPr>
          </w:p>
        </w:tc>
        <w:tc>
          <w:tcPr>
            <w:tcW w:w="1305" w:type="dxa"/>
            <w:gridSpan w:val="2"/>
            <w:tcBorders>
              <w:left w:val="single" w:color="auto" w:sz="4" w:space="0"/>
              <w:right w:val="single" w:color="auto" w:sz="4" w:space="0"/>
            </w:tcBorders>
            <w:noWrap w:val="0"/>
            <w:vAlign w:val="center"/>
          </w:tcPr>
          <w:p>
            <w:pPr>
              <w:jc w:val="center"/>
              <w:rPr>
                <w:rFonts w:ascii="宋体" w:hAnsi="宋体"/>
                <w:szCs w:val="21"/>
              </w:rPr>
            </w:pPr>
          </w:p>
        </w:tc>
        <w:tc>
          <w:tcPr>
            <w:tcW w:w="2414" w:type="dxa"/>
            <w:tcBorders>
              <w:left w:val="single" w:color="auto" w:sz="4" w:space="0"/>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25" w:type="dxa"/>
            <w:tcBorders>
              <w:left w:val="thinThickSmallGap" w:color="auto" w:sz="24" w:space="0"/>
            </w:tcBorders>
            <w:noWrap w:val="0"/>
            <w:vAlign w:val="center"/>
          </w:tcPr>
          <w:p>
            <w:pPr>
              <w:jc w:val="center"/>
              <w:rPr>
                <w:rFonts w:ascii="宋体" w:hAnsi="宋体"/>
                <w:szCs w:val="21"/>
              </w:rPr>
            </w:pPr>
          </w:p>
        </w:tc>
        <w:tc>
          <w:tcPr>
            <w:tcW w:w="675" w:type="dxa"/>
            <w:noWrap w:val="0"/>
            <w:vAlign w:val="center"/>
          </w:tcPr>
          <w:p>
            <w:pPr>
              <w:jc w:val="center"/>
              <w:rPr>
                <w:rFonts w:ascii="宋体" w:hAnsi="宋体"/>
                <w:szCs w:val="21"/>
              </w:rPr>
            </w:pPr>
          </w:p>
        </w:tc>
        <w:tc>
          <w:tcPr>
            <w:tcW w:w="976" w:type="dxa"/>
            <w:gridSpan w:val="2"/>
            <w:noWrap w:val="0"/>
            <w:vAlign w:val="center"/>
          </w:tcPr>
          <w:p>
            <w:pPr>
              <w:jc w:val="center"/>
              <w:rPr>
                <w:rFonts w:ascii="宋体" w:hAnsi="宋体"/>
                <w:szCs w:val="21"/>
              </w:rPr>
            </w:pPr>
          </w:p>
        </w:tc>
        <w:tc>
          <w:tcPr>
            <w:tcW w:w="1185" w:type="dxa"/>
            <w:gridSpan w:val="2"/>
            <w:noWrap w:val="0"/>
            <w:vAlign w:val="center"/>
          </w:tcPr>
          <w:p>
            <w:pPr>
              <w:jc w:val="center"/>
              <w:rPr>
                <w:rFonts w:ascii="宋体" w:hAnsi="宋体"/>
                <w:szCs w:val="21"/>
              </w:rPr>
            </w:pPr>
          </w:p>
        </w:tc>
        <w:tc>
          <w:tcPr>
            <w:tcW w:w="1170" w:type="dxa"/>
            <w:gridSpan w:val="3"/>
            <w:noWrap w:val="0"/>
            <w:vAlign w:val="center"/>
          </w:tcPr>
          <w:p>
            <w:pPr>
              <w:jc w:val="center"/>
              <w:rPr>
                <w:rFonts w:ascii="宋体" w:hAnsi="宋体"/>
                <w:b/>
                <w:szCs w:val="21"/>
              </w:rPr>
            </w:pPr>
          </w:p>
        </w:tc>
        <w:tc>
          <w:tcPr>
            <w:tcW w:w="1215" w:type="dxa"/>
            <w:tcBorders>
              <w:right w:val="single" w:color="auto" w:sz="4" w:space="0"/>
            </w:tcBorders>
            <w:noWrap w:val="0"/>
            <w:vAlign w:val="center"/>
          </w:tcPr>
          <w:p>
            <w:pPr>
              <w:jc w:val="center"/>
              <w:rPr>
                <w:rFonts w:ascii="宋体" w:hAnsi="宋体"/>
                <w:szCs w:val="21"/>
              </w:rPr>
            </w:pPr>
          </w:p>
        </w:tc>
        <w:tc>
          <w:tcPr>
            <w:tcW w:w="1305" w:type="dxa"/>
            <w:gridSpan w:val="2"/>
            <w:tcBorders>
              <w:left w:val="single" w:color="auto" w:sz="4" w:space="0"/>
              <w:right w:val="single" w:color="auto" w:sz="4" w:space="0"/>
            </w:tcBorders>
            <w:noWrap w:val="0"/>
            <w:vAlign w:val="center"/>
          </w:tcPr>
          <w:p>
            <w:pPr>
              <w:jc w:val="center"/>
              <w:rPr>
                <w:rFonts w:ascii="宋体" w:hAnsi="宋体"/>
                <w:szCs w:val="21"/>
              </w:rPr>
            </w:pPr>
          </w:p>
        </w:tc>
        <w:tc>
          <w:tcPr>
            <w:tcW w:w="2414" w:type="dxa"/>
            <w:tcBorders>
              <w:left w:val="single" w:color="auto" w:sz="4" w:space="0"/>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25" w:type="dxa"/>
            <w:tcBorders>
              <w:left w:val="thinThickSmallGap" w:color="auto" w:sz="24" w:space="0"/>
            </w:tcBorders>
            <w:noWrap w:val="0"/>
            <w:vAlign w:val="center"/>
          </w:tcPr>
          <w:p>
            <w:pPr>
              <w:jc w:val="center"/>
              <w:rPr>
                <w:rFonts w:ascii="宋体" w:hAnsi="宋体"/>
                <w:szCs w:val="21"/>
              </w:rPr>
            </w:pPr>
          </w:p>
        </w:tc>
        <w:tc>
          <w:tcPr>
            <w:tcW w:w="675" w:type="dxa"/>
            <w:noWrap w:val="0"/>
            <w:vAlign w:val="center"/>
          </w:tcPr>
          <w:p>
            <w:pPr>
              <w:jc w:val="center"/>
              <w:rPr>
                <w:rFonts w:ascii="宋体" w:hAnsi="宋体"/>
                <w:szCs w:val="21"/>
              </w:rPr>
            </w:pPr>
          </w:p>
        </w:tc>
        <w:tc>
          <w:tcPr>
            <w:tcW w:w="976" w:type="dxa"/>
            <w:gridSpan w:val="2"/>
            <w:noWrap w:val="0"/>
            <w:vAlign w:val="center"/>
          </w:tcPr>
          <w:p>
            <w:pPr>
              <w:jc w:val="center"/>
              <w:rPr>
                <w:rFonts w:ascii="宋体" w:hAnsi="宋体"/>
                <w:szCs w:val="21"/>
              </w:rPr>
            </w:pPr>
          </w:p>
        </w:tc>
        <w:tc>
          <w:tcPr>
            <w:tcW w:w="1185" w:type="dxa"/>
            <w:gridSpan w:val="2"/>
            <w:noWrap w:val="0"/>
            <w:vAlign w:val="center"/>
          </w:tcPr>
          <w:p>
            <w:pPr>
              <w:jc w:val="center"/>
              <w:rPr>
                <w:rFonts w:ascii="宋体" w:hAnsi="宋体"/>
                <w:szCs w:val="21"/>
              </w:rPr>
            </w:pPr>
          </w:p>
        </w:tc>
        <w:tc>
          <w:tcPr>
            <w:tcW w:w="1170" w:type="dxa"/>
            <w:gridSpan w:val="3"/>
            <w:noWrap w:val="0"/>
            <w:vAlign w:val="center"/>
          </w:tcPr>
          <w:p>
            <w:pPr>
              <w:jc w:val="center"/>
              <w:rPr>
                <w:rFonts w:ascii="宋体" w:hAnsi="宋体"/>
                <w:b/>
                <w:szCs w:val="21"/>
              </w:rPr>
            </w:pPr>
          </w:p>
        </w:tc>
        <w:tc>
          <w:tcPr>
            <w:tcW w:w="1215" w:type="dxa"/>
            <w:tcBorders>
              <w:right w:val="single" w:color="auto" w:sz="4" w:space="0"/>
            </w:tcBorders>
            <w:noWrap w:val="0"/>
            <w:vAlign w:val="center"/>
          </w:tcPr>
          <w:p>
            <w:pPr>
              <w:jc w:val="center"/>
              <w:rPr>
                <w:rFonts w:ascii="宋体" w:hAnsi="宋体"/>
                <w:szCs w:val="21"/>
              </w:rPr>
            </w:pPr>
          </w:p>
        </w:tc>
        <w:tc>
          <w:tcPr>
            <w:tcW w:w="1305" w:type="dxa"/>
            <w:gridSpan w:val="2"/>
            <w:tcBorders>
              <w:left w:val="single" w:color="auto" w:sz="4" w:space="0"/>
              <w:right w:val="single" w:color="auto" w:sz="4" w:space="0"/>
            </w:tcBorders>
            <w:noWrap w:val="0"/>
            <w:vAlign w:val="center"/>
          </w:tcPr>
          <w:p>
            <w:pPr>
              <w:jc w:val="center"/>
              <w:rPr>
                <w:rFonts w:ascii="宋体" w:hAnsi="宋体"/>
                <w:szCs w:val="21"/>
              </w:rPr>
            </w:pPr>
          </w:p>
        </w:tc>
        <w:tc>
          <w:tcPr>
            <w:tcW w:w="2414" w:type="dxa"/>
            <w:tcBorders>
              <w:left w:val="single" w:color="auto" w:sz="4" w:space="0"/>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25" w:type="dxa"/>
            <w:tcBorders>
              <w:left w:val="thinThickSmallGap" w:color="auto" w:sz="24" w:space="0"/>
            </w:tcBorders>
            <w:noWrap w:val="0"/>
            <w:vAlign w:val="center"/>
          </w:tcPr>
          <w:p>
            <w:pPr>
              <w:jc w:val="center"/>
              <w:rPr>
                <w:rFonts w:ascii="宋体" w:hAnsi="宋体"/>
                <w:szCs w:val="21"/>
              </w:rPr>
            </w:pPr>
          </w:p>
        </w:tc>
        <w:tc>
          <w:tcPr>
            <w:tcW w:w="675" w:type="dxa"/>
            <w:noWrap w:val="0"/>
            <w:vAlign w:val="center"/>
          </w:tcPr>
          <w:p>
            <w:pPr>
              <w:jc w:val="center"/>
              <w:rPr>
                <w:rFonts w:ascii="宋体" w:hAnsi="宋体"/>
                <w:szCs w:val="21"/>
              </w:rPr>
            </w:pPr>
          </w:p>
        </w:tc>
        <w:tc>
          <w:tcPr>
            <w:tcW w:w="976" w:type="dxa"/>
            <w:gridSpan w:val="2"/>
            <w:noWrap w:val="0"/>
            <w:vAlign w:val="center"/>
          </w:tcPr>
          <w:p>
            <w:pPr>
              <w:jc w:val="center"/>
              <w:rPr>
                <w:rFonts w:ascii="宋体" w:hAnsi="宋体"/>
                <w:szCs w:val="21"/>
              </w:rPr>
            </w:pPr>
          </w:p>
        </w:tc>
        <w:tc>
          <w:tcPr>
            <w:tcW w:w="1185" w:type="dxa"/>
            <w:gridSpan w:val="2"/>
            <w:noWrap w:val="0"/>
            <w:vAlign w:val="center"/>
          </w:tcPr>
          <w:p>
            <w:pPr>
              <w:jc w:val="center"/>
              <w:rPr>
                <w:rFonts w:ascii="宋体" w:hAnsi="宋体"/>
                <w:szCs w:val="21"/>
              </w:rPr>
            </w:pPr>
          </w:p>
        </w:tc>
        <w:tc>
          <w:tcPr>
            <w:tcW w:w="1170" w:type="dxa"/>
            <w:gridSpan w:val="3"/>
            <w:noWrap w:val="0"/>
            <w:vAlign w:val="center"/>
          </w:tcPr>
          <w:p>
            <w:pPr>
              <w:jc w:val="center"/>
              <w:rPr>
                <w:rFonts w:ascii="宋体" w:hAnsi="宋体"/>
                <w:b/>
                <w:szCs w:val="21"/>
              </w:rPr>
            </w:pPr>
          </w:p>
        </w:tc>
        <w:tc>
          <w:tcPr>
            <w:tcW w:w="1215" w:type="dxa"/>
            <w:tcBorders>
              <w:right w:val="single" w:color="auto" w:sz="4" w:space="0"/>
            </w:tcBorders>
            <w:noWrap w:val="0"/>
            <w:vAlign w:val="center"/>
          </w:tcPr>
          <w:p>
            <w:pPr>
              <w:jc w:val="center"/>
              <w:rPr>
                <w:rFonts w:ascii="宋体" w:hAnsi="宋体"/>
                <w:szCs w:val="21"/>
              </w:rPr>
            </w:pPr>
          </w:p>
        </w:tc>
        <w:tc>
          <w:tcPr>
            <w:tcW w:w="1305" w:type="dxa"/>
            <w:gridSpan w:val="2"/>
            <w:tcBorders>
              <w:left w:val="single" w:color="auto" w:sz="4" w:space="0"/>
              <w:right w:val="single" w:color="auto" w:sz="4" w:space="0"/>
            </w:tcBorders>
            <w:noWrap w:val="0"/>
            <w:vAlign w:val="center"/>
          </w:tcPr>
          <w:p>
            <w:pPr>
              <w:jc w:val="center"/>
              <w:rPr>
                <w:rFonts w:ascii="宋体" w:hAnsi="宋体"/>
                <w:szCs w:val="21"/>
              </w:rPr>
            </w:pPr>
          </w:p>
        </w:tc>
        <w:tc>
          <w:tcPr>
            <w:tcW w:w="2414" w:type="dxa"/>
            <w:tcBorders>
              <w:left w:val="single" w:color="auto" w:sz="4" w:space="0"/>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25" w:type="dxa"/>
            <w:tcBorders>
              <w:left w:val="thinThickSmallGap" w:color="auto" w:sz="24" w:space="0"/>
            </w:tcBorders>
            <w:noWrap w:val="0"/>
            <w:vAlign w:val="center"/>
          </w:tcPr>
          <w:p>
            <w:pPr>
              <w:jc w:val="center"/>
              <w:rPr>
                <w:rFonts w:ascii="宋体" w:hAnsi="宋体"/>
                <w:szCs w:val="21"/>
              </w:rPr>
            </w:pPr>
          </w:p>
        </w:tc>
        <w:tc>
          <w:tcPr>
            <w:tcW w:w="675" w:type="dxa"/>
            <w:noWrap w:val="0"/>
            <w:vAlign w:val="center"/>
          </w:tcPr>
          <w:p>
            <w:pPr>
              <w:jc w:val="center"/>
              <w:rPr>
                <w:rFonts w:ascii="宋体" w:hAnsi="宋体"/>
                <w:szCs w:val="21"/>
              </w:rPr>
            </w:pPr>
          </w:p>
        </w:tc>
        <w:tc>
          <w:tcPr>
            <w:tcW w:w="976" w:type="dxa"/>
            <w:gridSpan w:val="2"/>
            <w:noWrap w:val="0"/>
            <w:vAlign w:val="center"/>
          </w:tcPr>
          <w:p>
            <w:pPr>
              <w:jc w:val="center"/>
              <w:rPr>
                <w:rFonts w:ascii="宋体" w:hAnsi="宋体"/>
                <w:szCs w:val="21"/>
              </w:rPr>
            </w:pPr>
          </w:p>
        </w:tc>
        <w:tc>
          <w:tcPr>
            <w:tcW w:w="1185" w:type="dxa"/>
            <w:gridSpan w:val="2"/>
            <w:noWrap w:val="0"/>
            <w:vAlign w:val="center"/>
          </w:tcPr>
          <w:p>
            <w:pPr>
              <w:jc w:val="center"/>
              <w:rPr>
                <w:rFonts w:ascii="宋体" w:hAnsi="宋体"/>
                <w:szCs w:val="21"/>
              </w:rPr>
            </w:pPr>
          </w:p>
        </w:tc>
        <w:tc>
          <w:tcPr>
            <w:tcW w:w="1170" w:type="dxa"/>
            <w:gridSpan w:val="3"/>
            <w:noWrap w:val="0"/>
            <w:vAlign w:val="center"/>
          </w:tcPr>
          <w:p>
            <w:pPr>
              <w:jc w:val="center"/>
              <w:rPr>
                <w:rFonts w:ascii="宋体" w:hAnsi="宋体"/>
                <w:b/>
                <w:szCs w:val="21"/>
              </w:rPr>
            </w:pPr>
          </w:p>
        </w:tc>
        <w:tc>
          <w:tcPr>
            <w:tcW w:w="1215" w:type="dxa"/>
            <w:tcBorders>
              <w:right w:val="single" w:color="auto" w:sz="4" w:space="0"/>
            </w:tcBorders>
            <w:noWrap w:val="0"/>
            <w:vAlign w:val="center"/>
          </w:tcPr>
          <w:p>
            <w:pPr>
              <w:jc w:val="center"/>
              <w:rPr>
                <w:rFonts w:ascii="宋体" w:hAnsi="宋体"/>
                <w:szCs w:val="21"/>
              </w:rPr>
            </w:pPr>
          </w:p>
        </w:tc>
        <w:tc>
          <w:tcPr>
            <w:tcW w:w="1305" w:type="dxa"/>
            <w:gridSpan w:val="2"/>
            <w:tcBorders>
              <w:left w:val="single" w:color="auto" w:sz="4" w:space="0"/>
              <w:right w:val="single" w:color="auto" w:sz="4" w:space="0"/>
            </w:tcBorders>
            <w:noWrap w:val="0"/>
            <w:vAlign w:val="center"/>
          </w:tcPr>
          <w:p>
            <w:pPr>
              <w:jc w:val="center"/>
              <w:rPr>
                <w:rFonts w:ascii="宋体" w:hAnsi="宋体"/>
                <w:szCs w:val="21"/>
              </w:rPr>
            </w:pPr>
          </w:p>
        </w:tc>
        <w:tc>
          <w:tcPr>
            <w:tcW w:w="2414" w:type="dxa"/>
            <w:tcBorders>
              <w:left w:val="single" w:color="auto" w:sz="4" w:space="0"/>
              <w:right w:val="thickThinSmallGap" w:color="auto" w:sz="2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825" w:type="dxa"/>
            <w:vMerge w:val="restart"/>
            <w:tcBorders>
              <w:top w:val="single" w:color="auto" w:sz="4" w:space="0"/>
              <w:left w:val="thinThickSmallGap" w:color="auto" w:sz="24" w:space="0"/>
            </w:tcBorders>
            <w:noWrap w:val="0"/>
            <w:vAlign w:val="center"/>
          </w:tcPr>
          <w:p>
            <w:pPr>
              <w:jc w:val="center"/>
              <w:rPr>
                <w:rFonts w:ascii="宋体" w:hAnsi="宋体"/>
                <w:szCs w:val="21"/>
              </w:rPr>
            </w:pPr>
            <w:r>
              <w:rPr>
                <w:rFonts w:hint="eastAsia" w:ascii="宋体" w:hAnsi="宋体"/>
                <w:szCs w:val="21"/>
              </w:rPr>
              <w:t>说明</w:t>
            </w:r>
          </w:p>
        </w:tc>
        <w:tc>
          <w:tcPr>
            <w:tcW w:w="8940" w:type="dxa"/>
            <w:gridSpan w:val="12"/>
            <w:tcBorders>
              <w:top w:val="single" w:color="auto" w:sz="4" w:space="0"/>
              <w:right w:val="thickThinSmallGap" w:color="auto" w:sz="24" w:space="0"/>
            </w:tcBorders>
            <w:noWrap w:val="0"/>
            <w:vAlign w:val="center"/>
          </w:tcPr>
          <w:p>
            <w:pPr>
              <w:jc w:val="left"/>
              <w:rPr>
                <w:rFonts w:hint="eastAsia" w:ascii="宋体" w:hAnsi="宋体"/>
                <w:szCs w:val="21"/>
              </w:rPr>
            </w:pPr>
            <w:r>
              <w:rPr>
                <w:rFonts w:hint="eastAsia" w:ascii="宋体" w:hAnsi="宋体"/>
                <w:szCs w:val="21"/>
              </w:rPr>
              <w:t>1、收到报名表后 发放报名确认函，缴纳学费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25" w:type="dxa"/>
            <w:vMerge w:val="continue"/>
            <w:tcBorders>
              <w:left w:val="thinThickSmallGap" w:color="auto" w:sz="24" w:space="0"/>
            </w:tcBorders>
            <w:noWrap w:val="0"/>
            <w:vAlign w:val="center"/>
          </w:tcPr>
          <w:p>
            <w:pPr>
              <w:jc w:val="center"/>
              <w:rPr>
                <w:rFonts w:ascii="宋体" w:hAnsi="宋体"/>
                <w:szCs w:val="21"/>
              </w:rPr>
            </w:pPr>
          </w:p>
        </w:tc>
        <w:tc>
          <w:tcPr>
            <w:tcW w:w="8940" w:type="dxa"/>
            <w:gridSpan w:val="12"/>
            <w:tcBorders>
              <w:right w:val="thickThinSmallGap" w:color="auto" w:sz="24" w:space="0"/>
            </w:tcBorders>
            <w:noWrap w:val="0"/>
            <w:vAlign w:val="center"/>
          </w:tcPr>
          <w:p>
            <w:pPr>
              <w:jc w:val="left"/>
              <w:rPr>
                <w:rFonts w:hint="eastAsia" w:ascii="宋体" w:hAnsi="宋体"/>
                <w:szCs w:val="21"/>
              </w:rPr>
            </w:pPr>
            <w:r>
              <w:rPr>
                <w:rFonts w:hint="eastAsia" w:ascii="宋体" w:hAnsi="宋体"/>
                <w:szCs w:val="21"/>
              </w:rPr>
              <w:t>2、收到学费后 安排座位（</w:t>
            </w:r>
            <w:r>
              <w:rPr>
                <w:rFonts w:hint="eastAsia" w:ascii="宋体" w:hAnsi="宋体"/>
                <w:b/>
                <w:bCs/>
                <w:szCs w:val="21"/>
              </w:rPr>
              <w:t>按交费先后顺序排列）</w:t>
            </w:r>
            <w:r>
              <w:rPr>
                <w:rFonts w:hint="eastAsia" w:ascii="宋体" w:hAnsi="宋体"/>
                <w:szCs w:val="21"/>
              </w:rPr>
              <w:t>、发送</w:t>
            </w:r>
            <w:r>
              <w:rPr>
                <w:rFonts w:hint="eastAsia" w:ascii="宋体" w:hAnsi="宋体"/>
                <w:szCs w:val="21"/>
                <w:lang w:eastAsia="zh-CN"/>
              </w:rPr>
              <w:t>报名确认函。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9765" w:type="dxa"/>
            <w:gridSpan w:val="13"/>
            <w:tcBorders>
              <w:left w:val="thinThickSmallGap" w:color="auto" w:sz="24" w:space="0"/>
              <w:bottom w:val="thickThinSmallGap" w:color="auto" w:sz="24" w:space="0"/>
              <w:right w:val="thickThinSmallGap" w:color="auto" w:sz="24" w:space="0"/>
            </w:tcBorders>
            <w:noWrap w:val="0"/>
            <w:vAlign w:val="center"/>
          </w:tcPr>
          <w:p>
            <w:pPr>
              <w:jc w:val="both"/>
              <w:rPr>
                <w:rFonts w:hint="eastAsia" w:ascii="宋体" w:hAnsi="宋体"/>
                <w:szCs w:val="21"/>
                <w:lang w:eastAsia="zh-CN"/>
              </w:rPr>
            </w:pPr>
          </w:p>
          <w:p>
            <w:pPr>
              <w:ind w:left="210" w:leftChars="100" w:firstLine="0" w:firstLineChars="0"/>
              <w:jc w:val="both"/>
              <w:rPr>
                <w:rFonts w:hint="eastAsia" w:ascii="宋体" w:hAnsi="宋体" w:eastAsia="宋体"/>
                <w:b/>
                <w:bCs/>
                <w:szCs w:val="21"/>
                <w:lang w:eastAsia="zh-CN"/>
              </w:rPr>
            </w:pPr>
            <w:r>
              <w:rPr>
                <w:rFonts w:hint="eastAsia" w:ascii="宋体" w:hAnsi="宋体"/>
                <w:b/>
                <w:bCs/>
                <w:szCs w:val="21"/>
                <w:lang w:eastAsia="zh-CN"/>
              </w:rPr>
              <w:t>备注：</w:t>
            </w:r>
            <w:r>
              <w:rPr>
                <w:rFonts w:hint="eastAsia" w:ascii="宋体" w:hAnsi="宋体"/>
                <w:b/>
                <w:bCs/>
                <w:szCs w:val="21"/>
                <w:lang w:eastAsia="zh-CN"/>
              </w:rPr>
              <w:fldChar w:fldCharType="begin"/>
            </w:r>
            <w:r>
              <w:rPr>
                <w:rFonts w:hint="eastAsia" w:ascii="宋体" w:hAnsi="宋体"/>
                <w:b/>
                <w:bCs/>
                <w:szCs w:val="21"/>
                <w:lang w:eastAsia="zh-CN"/>
              </w:rPr>
              <w:instrText xml:space="preserve"> HYPERLINK "mailto:报名回执填好后发送至qhcwzhi@163.com" </w:instrText>
            </w:r>
            <w:r>
              <w:rPr>
                <w:rFonts w:hint="eastAsia" w:ascii="宋体" w:hAnsi="宋体"/>
                <w:b/>
                <w:bCs/>
                <w:szCs w:val="21"/>
                <w:lang w:eastAsia="zh-CN"/>
              </w:rPr>
              <w:fldChar w:fldCharType="separate"/>
            </w:r>
            <w:r>
              <w:rPr>
                <w:rStyle w:val="4"/>
                <w:rFonts w:hint="eastAsia" w:ascii="宋体" w:hAnsi="宋体"/>
                <w:b/>
                <w:bCs/>
                <w:szCs w:val="21"/>
                <w:lang w:eastAsia="zh-CN"/>
              </w:rPr>
              <w:t>报名回执填好后发送至邮箱</w:t>
            </w:r>
            <w:r>
              <w:rPr>
                <w:rFonts w:hint="eastAsia" w:ascii="宋体" w:hAnsi="宋体"/>
                <w:b/>
                <w:bCs/>
                <w:szCs w:val="21"/>
                <w:lang w:eastAsia="zh-CN"/>
              </w:rPr>
              <w:fldChar w:fldCharType="end"/>
            </w:r>
            <w:r>
              <w:rPr>
                <w:rFonts w:hint="eastAsia" w:ascii="宋体" w:hAnsi="宋体"/>
                <w:b/>
                <w:bCs/>
                <w:szCs w:val="21"/>
                <w:lang w:val="en-US" w:eastAsia="zh-CN"/>
              </w:rPr>
              <w:t xml:space="preserve"> 。教务组会在收到报名回执的1-2天内发送报名确认函。详细咨询：</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tc>
      </w:tr>
    </w:tbl>
    <w:p>
      <w:pPr>
        <w:rPr>
          <w:rFonts w:hint="eastAsia"/>
          <w:sz w:val="28"/>
          <w:szCs w:val="36"/>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C4A0"/>
    <w:multiLevelType w:val="singleLevel"/>
    <w:tmpl w:val="5AD4C4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569C2"/>
    <w:rsid w:val="168A0240"/>
    <w:rsid w:val="280569C2"/>
    <w:rsid w:val="38EA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4804</Words>
  <Characters>4873</Characters>
  <Lines>0</Lines>
  <Paragraphs>0</Paragraphs>
  <TotalTime>6</TotalTime>
  <ScaleCrop>false</ScaleCrop>
  <LinksUpToDate>false</LinksUpToDate>
  <CharactersWithSpaces>4928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2019-03-10T00:06:00Z</dcterms:created>
  <dc:creator>郅美丽</dc:creator>
  <cp:lastModifiedBy>郅美丽</cp:lastModifiedBy>
  <dcterms:modified xsi:type="dcterms:W3CDTF">2019-03-10T00:25:52Z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